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5" w:rsidRDefault="00175ECF">
      <w:pPr>
        <w:keepNext/>
        <w:keepLines/>
        <w:snapToGrid w:val="0"/>
        <w:spacing w:line="300" w:lineRule="auto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/>
          <w:b/>
          <w:sz w:val="32"/>
          <w:szCs w:val="32"/>
        </w:rPr>
        <w:t>二：</w:t>
      </w:r>
    </w:p>
    <w:p w:rsidR="00175ECF" w:rsidRDefault="00175ECF">
      <w:pPr>
        <w:keepNext/>
        <w:keepLines/>
        <w:snapToGrid w:val="0"/>
        <w:spacing w:line="300" w:lineRule="auto"/>
        <w:outlineLvl w:val="0"/>
        <w:rPr>
          <w:rFonts w:ascii="仿宋_GB2312" w:eastAsia="仿宋_GB2312" w:hAnsi="宋体"/>
          <w:b/>
          <w:sz w:val="32"/>
          <w:szCs w:val="32"/>
        </w:rPr>
      </w:pPr>
    </w:p>
    <w:p w:rsidR="00831D15" w:rsidRDefault="0056277B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全日制教育硕士专业学位研究生指导性培养方案（修订）</w:t>
      </w:r>
    </w:p>
    <w:p w:rsidR="00831D15" w:rsidRDefault="0056277B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（小学教育专业领域）</w:t>
      </w:r>
    </w:p>
    <w:p w:rsidR="00831D15" w:rsidRDefault="00831D15">
      <w:pPr>
        <w:keepNext/>
        <w:keepLines/>
        <w:snapToGrid w:val="0"/>
        <w:spacing w:line="300" w:lineRule="auto"/>
        <w:jc w:val="center"/>
        <w:outlineLvl w:val="0"/>
        <w:rPr>
          <w:rFonts w:ascii="方正小标宋简体" w:eastAsia="方正小标宋简体" w:hAnsi="宋体"/>
          <w:b/>
          <w:sz w:val="32"/>
          <w:szCs w:val="32"/>
        </w:rPr>
      </w:pP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一、培养目标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培养高素质的小学专任教师。具体要求为：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1．热爱祖国，拥护中国共产党领导。热爱教育事业，教书育人，为人师表，积极进取，勇于创新。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2．掌握现代教育理论,具有良好的知识结构和扎实的专业基础，了解学科前沿和发展趋势。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3．具有较强的实践能力，胜任并创造性地开展教育教学和管理工作。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4．具有发现和解决问题、终身学习与发展的意识与能力。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5．能较为熟练地运用一种外国语阅读本专业的外文文献资料。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二、招生对象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具有国民教育序列大学本科学历(或本科同等学力)人员。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三、学习年限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学习年限一般为2至3年。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四、课程设置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课程分为学位基础课、专业必修课、专业选修课和实践教学。总学分不少于36学分。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（一）学位基础课（12学分）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1.外语（2学分）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2.政治理论（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含教师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职业道德教育）（2学分）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3.教育原理（2学分）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4.课程与教学论（2学分）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5.教育研究方法（2学分）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6.心理发展与教育（2学分）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（二）专业必修课（10学分）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1.小学课程与教材研究（2学分）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2.小学教学设计与实施（2学分）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3.自设课程（3门，6学分）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自设课程由培养院校根据培养目标和学科特色自行设置。可开设旨在提高学生学科素养的学科素养类课程，或提升学生教学评价与实践反思能力的教学评价与反思类课程，或旨在增强学生信息技术应用能力的信息技术应用类课程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（三）专业选修课 （6学分）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1.专业理论知识类课程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2.教学专业技能类课程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3.教育教学管理类课程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每一类专业选修课至少设置2门课程，每门课程1-2学分。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（四）实践教学（8学分）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1.校内实训（2学分）：教学技能训练、微格教学、课例分析等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2.校外实践（6学分）：教育见习（1学分）、教育实习（4学分）、教育研习（1学分）等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五、培养方式</w:t>
      </w:r>
    </w:p>
    <w:p w:rsidR="00831D15" w:rsidRDefault="0056277B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重视理论与实践相结合，实行双导师制，校内外导师共同指导学生的学习和研究工作。根据培养目标、课程性质和教学内容，选择恰当的教学方式与方法，在教学中注重实践与反思，采取案例教学、模拟教学、小组合作学习等方式；注重课内与课外学习相结合，关注学生的主动学习与创新学习；充分利用互联网等现代教学技术手段，开展线上学习与线下学习相结合的混合式教学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六、实践教学的实施</w:t>
      </w:r>
    </w:p>
    <w:p w:rsidR="00831D15" w:rsidRDefault="0056277B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实践教学须有明确的目标和具体内容，有完整的管理与评价制度，有序组织实施。实践教学时间原则上不少于1学年，其中校外集中实践不少于1学期。校内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实训应在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第一学年内完成；教育见习应在第一学期完成，教育实习、教育研习应在第二学年完成。有充足的实践实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训设施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和稳定的校外实践基地，能切实保障实践教学活动有效开展。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七、学位论文及学位授予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（一）学位论文选题应与小学教育专业领域的培养目标相一致，来源于小学教育、教学的实际问题。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（二）学位论文应符合研究规范并凸显应用价值，论文的形式可以多样化，如专</w:t>
      </w:r>
      <w:r w:rsidR="005008E1">
        <w:rPr>
          <w:rFonts w:asciiTheme="minorEastAsia" w:eastAsiaTheme="minorEastAsia" w:hAnsiTheme="minorEastAsia" w:cstheme="minorEastAsia" w:hint="eastAsia"/>
          <w:sz w:val="24"/>
        </w:rPr>
        <w:t>题研究论文、调查研究报告、实验研究报告和案例研究</w:t>
      </w:r>
      <w:r w:rsidR="001805BB">
        <w:rPr>
          <w:rFonts w:asciiTheme="minorEastAsia" w:eastAsiaTheme="minorEastAsia" w:hAnsiTheme="minorEastAsia" w:cstheme="minorEastAsia" w:hint="eastAsia"/>
          <w:sz w:val="24"/>
        </w:rPr>
        <w:t>报告</w:t>
      </w:r>
      <w:r>
        <w:rPr>
          <w:rFonts w:asciiTheme="minorEastAsia" w:eastAsiaTheme="minorEastAsia" w:hAnsiTheme="minorEastAsia" w:cstheme="minorEastAsia" w:hint="eastAsia"/>
          <w:sz w:val="24"/>
        </w:rPr>
        <w:t>等。论文正文部分字数不少于2万字。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（三）论文评阅人和答辩委员会成员中，应该至少有一名具有高级职称的小学教师或教学研究人员。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（四）修满规定学分，并通过论文答辩者，经学位授予单位学位评定委员会审核，授予教育硕士专业学位，同时获得硕士研究生毕业证书。</w:t>
      </w:r>
    </w:p>
    <w:p w:rsidR="00831D15" w:rsidRDefault="00831D15">
      <w:pPr>
        <w:ind w:firstLine="560"/>
        <w:rPr>
          <w:rFonts w:ascii="仿宋_GB2312" w:eastAsia="仿宋_GB2312" w:hAnsi="宋体"/>
          <w:sz w:val="32"/>
          <w:szCs w:val="32"/>
        </w:rPr>
      </w:pPr>
    </w:p>
    <w:p w:rsidR="00831D15" w:rsidRDefault="0056277B">
      <w:pPr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全国教育专业学位研究生教育指导委员会</w:t>
      </w:r>
    </w:p>
    <w:p w:rsidR="00175ECF" w:rsidRDefault="00175ECF">
      <w:pPr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bookmarkStart w:id="0" w:name="_GoBack"/>
      <w:bookmarkEnd w:id="0"/>
    </w:p>
    <w:sectPr w:rsidR="00175ECF">
      <w:footerReference w:type="default" r:id="rId8"/>
      <w:pgSz w:w="11906" w:h="16838"/>
      <w:pgMar w:top="1440" w:right="1466" w:bottom="1440" w:left="1440" w:header="851" w:footer="992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4C" w:rsidRDefault="001A1A4C">
      <w:r>
        <w:separator/>
      </w:r>
    </w:p>
  </w:endnote>
  <w:endnote w:type="continuationSeparator" w:id="0">
    <w:p w:rsidR="001A1A4C" w:rsidRDefault="001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15" w:rsidRDefault="005627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30F63" w:rsidRPr="00830F63">
      <w:rPr>
        <w:noProof/>
        <w:lang w:val="zh-CN"/>
      </w:rPr>
      <w:t>3</w:t>
    </w:r>
    <w:r>
      <w:rPr>
        <w:lang w:val="zh-CN"/>
      </w:rPr>
      <w:fldChar w:fldCharType="end"/>
    </w:r>
  </w:p>
  <w:p w:rsidR="00831D15" w:rsidRDefault="00831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4C" w:rsidRDefault="001A1A4C">
      <w:r>
        <w:separator/>
      </w:r>
    </w:p>
  </w:footnote>
  <w:footnote w:type="continuationSeparator" w:id="0">
    <w:p w:rsidR="001A1A4C" w:rsidRDefault="001A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D1"/>
    <w:rsid w:val="000068BA"/>
    <w:rsid w:val="00012979"/>
    <w:rsid w:val="000147FE"/>
    <w:rsid w:val="00015E97"/>
    <w:rsid w:val="00016670"/>
    <w:rsid w:val="000236C5"/>
    <w:rsid w:val="0003642D"/>
    <w:rsid w:val="00036C53"/>
    <w:rsid w:val="00036C5C"/>
    <w:rsid w:val="00042D9B"/>
    <w:rsid w:val="000464A7"/>
    <w:rsid w:val="0005339E"/>
    <w:rsid w:val="0008018D"/>
    <w:rsid w:val="000D0976"/>
    <w:rsid w:val="000E2A35"/>
    <w:rsid w:val="000F0013"/>
    <w:rsid w:val="000F4A3C"/>
    <w:rsid w:val="000F7192"/>
    <w:rsid w:val="0016290E"/>
    <w:rsid w:val="00175ECF"/>
    <w:rsid w:val="001805BB"/>
    <w:rsid w:val="001819FB"/>
    <w:rsid w:val="00187374"/>
    <w:rsid w:val="001A1A4C"/>
    <w:rsid w:val="001A3813"/>
    <w:rsid w:val="001B41ED"/>
    <w:rsid w:val="001C5BBF"/>
    <w:rsid w:val="001D11C7"/>
    <w:rsid w:val="001E0882"/>
    <w:rsid w:val="001E1EAF"/>
    <w:rsid w:val="001E7AC9"/>
    <w:rsid w:val="00211121"/>
    <w:rsid w:val="00247C98"/>
    <w:rsid w:val="00257975"/>
    <w:rsid w:val="002609C8"/>
    <w:rsid w:val="00266A27"/>
    <w:rsid w:val="00270C62"/>
    <w:rsid w:val="00290035"/>
    <w:rsid w:val="002A5A23"/>
    <w:rsid w:val="002A5D97"/>
    <w:rsid w:val="002B5228"/>
    <w:rsid w:val="002C2DFE"/>
    <w:rsid w:val="002C4A2A"/>
    <w:rsid w:val="002E5777"/>
    <w:rsid w:val="002F573C"/>
    <w:rsid w:val="003016CD"/>
    <w:rsid w:val="003435B1"/>
    <w:rsid w:val="003847FF"/>
    <w:rsid w:val="00396CD0"/>
    <w:rsid w:val="003A2DE9"/>
    <w:rsid w:val="003A716B"/>
    <w:rsid w:val="003B6736"/>
    <w:rsid w:val="003B75B8"/>
    <w:rsid w:val="003C794B"/>
    <w:rsid w:val="003D6633"/>
    <w:rsid w:val="003E6A58"/>
    <w:rsid w:val="003F47AF"/>
    <w:rsid w:val="00443A08"/>
    <w:rsid w:val="004638C9"/>
    <w:rsid w:val="0046676F"/>
    <w:rsid w:val="00466B57"/>
    <w:rsid w:val="0047307D"/>
    <w:rsid w:val="00473291"/>
    <w:rsid w:val="004762A1"/>
    <w:rsid w:val="00477E5F"/>
    <w:rsid w:val="00491903"/>
    <w:rsid w:val="00494A54"/>
    <w:rsid w:val="004A4AAB"/>
    <w:rsid w:val="004A54A7"/>
    <w:rsid w:val="004A7CD8"/>
    <w:rsid w:val="004B3AC1"/>
    <w:rsid w:val="004B7F64"/>
    <w:rsid w:val="004C0865"/>
    <w:rsid w:val="004E3723"/>
    <w:rsid w:val="004F186C"/>
    <w:rsid w:val="004F1906"/>
    <w:rsid w:val="004F5C9E"/>
    <w:rsid w:val="005008E1"/>
    <w:rsid w:val="005021B0"/>
    <w:rsid w:val="0051249F"/>
    <w:rsid w:val="00513257"/>
    <w:rsid w:val="00517BC5"/>
    <w:rsid w:val="00535DC7"/>
    <w:rsid w:val="00544D00"/>
    <w:rsid w:val="0055233B"/>
    <w:rsid w:val="0055687B"/>
    <w:rsid w:val="0056277B"/>
    <w:rsid w:val="005661BD"/>
    <w:rsid w:val="00572D8E"/>
    <w:rsid w:val="005A4CC7"/>
    <w:rsid w:val="005B1D1E"/>
    <w:rsid w:val="005B7302"/>
    <w:rsid w:val="005D1132"/>
    <w:rsid w:val="005D6051"/>
    <w:rsid w:val="005D60E0"/>
    <w:rsid w:val="005F25D9"/>
    <w:rsid w:val="00607FCC"/>
    <w:rsid w:val="0061296F"/>
    <w:rsid w:val="006427E4"/>
    <w:rsid w:val="00647D27"/>
    <w:rsid w:val="006552CF"/>
    <w:rsid w:val="00656BC0"/>
    <w:rsid w:val="006A2966"/>
    <w:rsid w:val="006A67CA"/>
    <w:rsid w:val="006D5D1D"/>
    <w:rsid w:val="006D6F9C"/>
    <w:rsid w:val="006E27B1"/>
    <w:rsid w:val="006F44CA"/>
    <w:rsid w:val="007045EB"/>
    <w:rsid w:val="0072175E"/>
    <w:rsid w:val="00722C70"/>
    <w:rsid w:val="00727CA5"/>
    <w:rsid w:val="00727D9B"/>
    <w:rsid w:val="00734472"/>
    <w:rsid w:val="007400D1"/>
    <w:rsid w:val="007451D1"/>
    <w:rsid w:val="0074564A"/>
    <w:rsid w:val="00746670"/>
    <w:rsid w:val="00754D34"/>
    <w:rsid w:val="00760473"/>
    <w:rsid w:val="0076305C"/>
    <w:rsid w:val="007B56BB"/>
    <w:rsid w:val="007C7D01"/>
    <w:rsid w:val="007D47DA"/>
    <w:rsid w:val="007D6B6E"/>
    <w:rsid w:val="007E6424"/>
    <w:rsid w:val="007F49B6"/>
    <w:rsid w:val="00801EE8"/>
    <w:rsid w:val="0080630C"/>
    <w:rsid w:val="00825DEF"/>
    <w:rsid w:val="00830F63"/>
    <w:rsid w:val="00831D15"/>
    <w:rsid w:val="00833B0C"/>
    <w:rsid w:val="00836A62"/>
    <w:rsid w:val="00846C98"/>
    <w:rsid w:val="00867D2D"/>
    <w:rsid w:val="00887F40"/>
    <w:rsid w:val="008A7D58"/>
    <w:rsid w:val="008E25A1"/>
    <w:rsid w:val="008E5CF8"/>
    <w:rsid w:val="008F305A"/>
    <w:rsid w:val="00913CF5"/>
    <w:rsid w:val="009210BA"/>
    <w:rsid w:val="009264FE"/>
    <w:rsid w:val="00931E11"/>
    <w:rsid w:val="00934CE3"/>
    <w:rsid w:val="00937B78"/>
    <w:rsid w:val="00944A7B"/>
    <w:rsid w:val="00955AA1"/>
    <w:rsid w:val="009969FD"/>
    <w:rsid w:val="009C7957"/>
    <w:rsid w:val="009E06B3"/>
    <w:rsid w:val="009E1F56"/>
    <w:rsid w:val="009F0569"/>
    <w:rsid w:val="009F1720"/>
    <w:rsid w:val="009F71E6"/>
    <w:rsid w:val="00A027C0"/>
    <w:rsid w:val="00A06BC2"/>
    <w:rsid w:val="00A06D79"/>
    <w:rsid w:val="00A17D42"/>
    <w:rsid w:val="00A218F2"/>
    <w:rsid w:val="00A23165"/>
    <w:rsid w:val="00A35D98"/>
    <w:rsid w:val="00A41E7F"/>
    <w:rsid w:val="00A47478"/>
    <w:rsid w:val="00A63798"/>
    <w:rsid w:val="00A65EB6"/>
    <w:rsid w:val="00A7124F"/>
    <w:rsid w:val="00A74D28"/>
    <w:rsid w:val="00A760DF"/>
    <w:rsid w:val="00A8327A"/>
    <w:rsid w:val="00A94870"/>
    <w:rsid w:val="00AA16F7"/>
    <w:rsid w:val="00AB522C"/>
    <w:rsid w:val="00AD346C"/>
    <w:rsid w:val="00AD3ECB"/>
    <w:rsid w:val="00AD4338"/>
    <w:rsid w:val="00AE6856"/>
    <w:rsid w:val="00B303C7"/>
    <w:rsid w:val="00B3539F"/>
    <w:rsid w:val="00B402D3"/>
    <w:rsid w:val="00B71E54"/>
    <w:rsid w:val="00B744B8"/>
    <w:rsid w:val="00B81745"/>
    <w:rsid w:val="00B86A12"/>
    <w:rsid w:val="00BE6D99"/>
    <w:rsid w:val="00C16DE4"/>
    <w:rsid w:val="00C434CC"/>
    <w:rsid w:val="00C43A43"/>
    <w:rsid w:val="00C522CD"/>
    <w:rsid w:val="00C7647E"/>
    <w:rsid w:val="00CB70F0"/>
    <w:rsid w:val="00CD7AFD"/>
    <w:rsid w:val="00D05B96"/>
    <w:rsid w:val="00D06584"/>
    <w:rsid w:val="00D06CEF"/>
    <w:rsid w:val="00D220CA"/>
    <w:rsid w:val="00D24F00"/>
    <w:rsid w:val="00D4165C"/>
    <w:rsid w:val="00D4270D"/>
    <w:rsid w:val="00D46DD6"/>
    <w:rsid w:val="00D46FEE"/>
    <w:rsid w:val="00D76463"/>
    <w:rsid w:val="00DB0F41"/>
    <w:rsid w:val="00DC4BAB"/>
    <w:rsid w:val="00DF45D8"/>
    <w:rsid w:val="00DF7C0C"/>
    <w:rsid w:val="00E02715"/>
    <w:rsid w:val="00E16977"/>
    <w:rsid w:val="00E35BC3"/>
    <w:rsid w:val="00E36261"/>
    <w:rsid w:val="00E40BBA"/>
    <w:rsid w:val="00E421C7"/>
    <w:rsid w:val="00E44DCE"/>
    <w:rsid w:val="00EA56B9"/>
    <w:rsid w:val="00EB063E"/>
    <w:rsid w:val="00EB13D4"/>
    <w:rsid w:val="00EB3C5B"/>
    <w:rsid w:val="00EB62D4"/>
    <w:rsid w:val="00EB76BF"/>
    <w:rsid w:val="00ED0526"/>
    <w:rsid w:val="00EF122D"/>
    <w:rsid w:val="00F068F4"/>
    <w:rsid w:val="00F11226"/>
    <w:rsid w:val="00F174F2"/>
    <w:rsid w:val="00F358B0"/>
    <w:rsid w:val="00F3628F"/>
    <w:rsid w:val="00F40F70"/>
    <w:rsid w:val="00F45AE6"/>
    <w:rsid w:val="00F52347"/>
    <w:rsid w:val="00F637AB"/>
    <w:rsid w:val="00F92C4C"/>
    <w:rsid w:val="00F9591F"/>
    <w:rsid w:val="00FB61C4"/>
    <w:rsid w:val="00FC6FAF"/>
    <w:rsid w:val="00FF5857"/>
    <w:rsid w:val="038961F1"/>
    <w:rsid w:val="046227EC"/>
    <w:rsid w:val="054738AE"/>
    <w:rsid w:val="0DAC1764"/>
    <w:rsid w:val="0EE270C6"/>
    <w:rsid w:val="0F383DBF"/>
    <w:rsid w:val="11CD2357"/>
    <w:rsid w:val="157C15BB"/>
    <w:rsid w:val="196F430C"/>
    <w:rsid w:val="19DF75F1"/>
    <w:rsid w:val="1A380BB0"/>
    <w:rsid w:val="1DD741FC"/>
    <w:rsid w:val="1EE15C31"/>
    <w:rsid w:val="1F53061F"/>
    <w:rsid w:val="27F408F5"/>
    <w:rsid w:val="312F0778"/>
    <w:rsid w:val="3881527C"/>
    <w:rsid w:val="3A413B82"/>
    <w:rsid w:val="3DA30F5A"/>
    <w:rsid w:val="427F50A5"/>
    <w:rsid w:val="45D90099"/>
    <w:rsid w:val="4B526A62"/>
    <w:rsid w:val="4C98727A"/>
    <w:rsid w:val="53E216B6"/>
    <w:rsid w:val="58672050"/>
    <w:rsid w:val="59030692"/>
    <w:rsid w:val="5E2902B6"/>
    <w:rsid w:val="6A3821EA"/>
    <w:rsid w:val="72880F6E"/>
    <w:rsid w:val="73A55265"/>
    <w:rsid w:val="743D286F"/>
    <w:rsid w:val="754E2247"/>
    <w:rsid w:val="767E003F"/>
    <w:rsid w:val="7C1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7AC8C-4AF5-407E-8D90-6ADC25D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unhideWhenUsed/>
    <w:qFormat/>
    <w:rPr>
      <w:sz w:val="21"/>
      <w:szCs w:val="21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5文内小标题方正黑 Char"/>
    <w:qFormat/>
    <w:rPr>
      <w:rFonts w:ascii="宋体" w:eastAsia="方正黑体简体" w:hAnsi="汉仪中黑简" w:cs="宋体"/>
      <w:color w:val="00000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semiHidden/>
    <w:qFormat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修订1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6A0FE-362E-4FAB-B0F9-11961AAE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1218</Characters>
  <Application>Microsoft Office Word</Application>
  <DocSecurity>0</DocSecurity>
  <Lines>10</Lines>
  <Paragraphs>2</Paragraphs>
  <ScaleCrop>false</ScaleCrop>
  <Company>MC SYSTEM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全日制教育硕士专业学位研究生指导性培养方案</dc:title>
  <dc:creator>MC SYSTEM</dc:creator>
  <cp:lastModifiedBy>ZGC</cp:lastModifiedBy>
  <cp:revision>8</cp:revision>
  <cp:lastPrinted>2017-03-06T09:28:00Z</cp:lastPrinted>
  <dcterms:created xsi:type="dcterms:W3CDTF">2017-02-26T15:12:00Z</dcterms:created>
  <dcterms:modified xsi:type="dcterms:W3CDTF">2017-03-06T09:30:00Z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