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596" w:lineRule="exact"/>
        <w:ind w:left="0" w:leftChars="0" w:right="-54" w:rightChars="0" w:hanging="10" w:firstLineChars="0"/>
        <w:jc w:val="center"/>
        <w:rPr>
          <w:rFonts w:hint="eastAsia" w:ascii="宋体" w:hAnsi="宋体" w:eastAsia="宋体" w:cs="宋体"/>
          <w:sz w:val="48"/>
          <w:szCs w:val="48"/>
          <w:lang w:val="en-US" w:eastAsia="zh-CN"/>
        </w:rPr>
      </w:pPr>
      <w:r>
        <w:rPr>
          <w:rFonts w:ascii="宋体" w:hAnsi="宋体" w:eastAsia="宋体" w:cs="宋体"/>
          <w:sz w:val="48"/>
          <w:szCs w:val="48"/>
        </w:rPr>
        <w:t>教育硕士（职业技术教育领域）研究生</w:t>
      </w:r>
      <w:r>
        <w:rPr>
          <w:rFonts w:hint="eastAsia" w:ascii="宋体" w:hAnsi="宋体" w:eastAsia="宋体" w:cs="宋体"/>
          <w:sz w:val="48"/>
          <w:szCs w:val="48"/>
          <w:lang w:val="en-US" w:eastAsia="zh-CN"/>
        </w:rPr>
        <w:t>学位论文抽检报告</w:t>
      </w:r>
    </w:p>
    <w:p>
      <w:pPr>
        <w:pStyle w:val="2"/>
        <w:spacing w:before="131" w:line="261" w:lineRule="auto"/>
        <w:ind w:left="1691" w:right="1652"/>
        <w:jc w:val="center"/>
      </w:pPr>
      <w:r>
        <w:rPr>
          <w:w w:val="95"/>
        </w:rPr>
        <w:t>全国教育专业学位研究生教育指导委员会</w:t>
      </w:r>
      <w:r>
        <w:t>职业技术教育专家工作小组</w:t>
      </w:r>
    </w:p>
    <w:p/>
    <w:p>
      <w:pPr>
        <w:pStyle w:val="4"/>
        <w:spacing w:before="27" w:line="360" w:lineRule="auto"/>
        <w:ind w:right="0" w:firstLine="416"/>
        <w:jc w:val="left"/>
        <w:rPr>
          <w:sz w:val="24"/>
          <w:szCs w:val="24"/>
        </w:rPr>
      </w:pPr>
      <w:r>
        <w:rPr>
          <w:rFonts w:hint="eastAsia" w:ascii="Times New Roman" w:hAnsi="Times New Roman" w:cs="Times New Roman"/>
          <w:spacing w:val="2"/>
          <w:sz w:val="24"/>
          <w:szCs w:val="24"/>
          <w:lang w:val="en-US" w:eastAsia="zh-CN"/>
        </w:rPr>
        <w:t>自</w:t>
      </w:r>
      <w:r>
        <w:rPr>
          <w:rFonts w:ascii="Times New Roman" w:hAnsi="Times New Roman" w:eastAsia="Times New Roman" w:cs="Times New Roman"/>
          <w:spacing w:val="2"/>
          <w:sz w:val="24"/>
          <w:szCs w:val="24"/>
        </w:rPr>
        <w:t>2015</w:t>
      </w:r>
      <w:r>
        <w:rPr>
          <w:rFonts w:ascii="Times New Roman" w:hAnsi="Times New Roman" w:eastAsia="Times New Roman" w:cs="Times New Roman"/>
          <w:spacing w:val="18"/>
          <w:sz w:val="24"/>
          <w:szCs w:val="24"/>
        </w:rPr>
        <w:t xml:space="preserve"> </w:t>
      </w:r>
      <w:r>
        <w:rPr>
          <w:spacing w:val="4"/>
          <w:sz w:val="24"/>
          <w:szCs w:val="24"/>
        </w:rPr>
        <w:t>年国务院学位委员会审议批准在教育硕</w:t>
      </w:r>
      <w:r>
        <w:rPr>
          <w:spacing w:val="7"/>
          <w:sz w:val="24"/>
          <w:szCs w:val="24"/>
        </w:rPr>
        <w:t>士专业学位授权点增设“职业技术教育”领域</w:t>
      </w:r>
      <w:r>
        <w:rPr>
          <w:rFonts w:hint="eastAsia"/>
          <w:spacing w:val="7"/>
          <w:sz w:val="24"/>
          <w:szCs w:val="24"/>
          <w:lang w:val="en-US" w:eastAsia="zh-CN"/>
        </w:rPr>
        <w:t>以来</w:t>
      </w:r>
      <w:r>
        <w:rPr>
          <w:spacing w:val="7"/>
          <w:sz w:val="24"/>
          <w:szCs w:val="24"/>
        </w:rPr>
        <w:t>。</w:t>
      </w:r>
      <w:r>
        <w:rPr>
          <w:spacing w:val="4"/>
          <w:sz w:val="24"/>
          <w:szCs w:val="24"/>
        </w:rPr>
        <w:t>全国</w:t>
      </w:r>
      <w:r>
        <w:rPr>
          <w:rFonts w:hint="eastAsia"/>
          <w:spacing w:val="4"/>
          <w:sz w:val="24"/>
          <w:szCs w:val="24"/>
          <w:lang w:val="en-US" w:eastAsia="zh-CN"/>
        </w:rPr>
        <w:t>共有</w:t>
      </w:r>
      <w:r>
        <w:rPr>
          <w:spacing w:val="-31"/>
          <w:sz w:val="24"/>
          <w:szCs w:val="24"/>
        </w:rPr>
        <w:t xml:space="preserve"> </w:t>
      </w:r>
      <w:r>
        <w:rPr>
          <w:rFonts w:hint="eastAsia" w:ascii="Times New Roman" w:hAnsi="Times New Roman" w:cs="Times New Roman"/>
          <w:sz w:val="24"/>
          <w:szCs w:val="24"/>
          <w:lang w:val="en-US" w:eastAsia="zh-CN"/>
        </w:rPr>
        <w:t>50</w:t>
      </w:r>
      <w:r>
        <w:rPr>
          <w:spacing w:val="2"/>
          <w:sz w:val="24"/>
          <w:szCs w:val="24"/>
        </w:rPr>
        <w:t>所高校经申报批准试点开展教育硕士（职</w:t>
      </w:r>
      <w:r>
        <w:rPr>
          <w:spacing w:val="-82"/>
          <w:sz w:val="24"/>
          <w:szCs w:val="24"/>
        </w:rPr>
        <w:t xml:space="preserve"> </w:t>
      </w:r>
      <w:r>
        <w:rPr>
          <w:spacing w:val="-6"/>
          <w:sz w:val="24"/>
          <w:szCs w:val="24"/>
        </w:rPr>
        <w:t>业技术教育领域）专业学位（以下简称“职教专硕”）</w:t>
      </w:r>
      <w:r>
        <w:rPr>
          <w:spacing w:val="-58"/>
          <w:sz w:val="24"/>
          <w:szCs w:val="24"/>
        </w:rPr>
        <w:t xml:space="preserve"> </w:t>
      </w:r>
      <w:r>
        <w:rPr>
          <w:spacing w:val="4"/>
          <w:sz w:val="24"/>
          <w:szCs w:val="24"/>
        </w:rPr>
        <w:t>研究生培养，</w:t>
      </w:r>
      <w:r>
        <w:rPr>
          <w:rFonts w:ascii="Times New Roman" w:hAnsi="Times New Roman" w:eastAsia="Times New Roman" w:cs="Times New Roman"/>
          <w:spacing w:val="4"/>
          <w:sz w:val="24"/>
          <w:szCs w:val="24"/>
        </w:rPr>
        <w:t>2018</w:t>
      </w:r>
      <w:r>
        <w:rPr>
          <w:rFonts w:ascii="Times New Roman" w:hAnsi="Times New Roman" w:eastAsia="Times New Roman" w:cs="Times New Roman"/>
          <w:spacing w:val="42"/>
          <w:sz w:val="24"/>
          <w:szCs w:val="24"/>
        </w:rPr>
        <w:t xml:space="preserve"> </w:t>
      </w:r>
      <w:r>
        <w:rPr>
          <w:spacing w:val="6"/>
          <w:sz w:val="24"/>
          <w:szCs w:val="24"/>
        </w:rPr>
        <w:t>年夏有了第一届毕业生。</w:t>
      </w:r>
    </w:p>
    <w:p>
      <w:pPr>
        <w:pStyle w:val="4"/>
        <w:spacing w:before="3" w:line="360" w:lineRule="auto"/>
        <w:ind w:right="0" w:firstLine="416"/>
        <w:jc w:val="left"/>
        <w:rPr>
          <w:sz w:val="24"/>
          <w:szCs w:val="24"/>
        </w:rPr>
      </w:pPr>
      <w:r>
        <w:rPr>
          <w:spacing w:val="7"/>
          <w:sz w:val="24"/>
          <w:szCs w:val="24"/>
        </w:rPr>
        <w:t>为</w:t>
      </w:r>
      <w:r>
        <w:rPr>
          <w:rFonts w:hint="eastAsia"/>
          <w:spacing w:val="7"/>
          <w:sz w:val="24"/>
          <w:szCs w:val="24"/>
          <w:lang w:val="en-US" w:eastAsia="zh-CN"/>
        </w:rPr>
        <w:t>进一步保证教育硕士研究生培养质量，发现问题，总结经验，更好地规范教育硕士（职业技术教育领域）专业学位论文要求，</w:t>
      </w:r>
      <w:r>
        <w:rPr>
          <w:spacing w:val="7"/>
          <w:sz w:val="24"/>
          <w:szCs w:val="24"/>
        </w:rPr>
        <w:t>全国教育专业学位</w:t>
      </w:r>
      <w:r>
        <w:rPr>
          <w:spacing w:val="-56"/>
          <w:sz w:val="24"/>
          <w:szCs w:val="24"/>
        </w:rPr>
        <w:t xml:space="preserve"> </w:t>
      </w:r>
      <w:r>
        <w:rPr>
          <w:sz w:val="24"/>
          <w:szCs w:val="24"/>
        </w:rPr>
        <w:t>研究生教育指导委员会（以下简称“教指委”）组织</w:t>
      </w:r>
      <w:r>
        <w:rPr>
          <w:w w:val="100"/>
          <w:sz w:val="24"/>
          <w:szCs w:val="24"/>
        </w:rPr>
        <w:t xml:space="preserve"> </w:t>
      </w:r>
      <w:r>
        <w:rPr>
          <w:sz w:val="24"/>
          <w:szCs w:val="24"/>
        </w:rPr>
        <w:t>职业技术教育专家工作小组（以下简称“专家组”）</w:t>
      </w:r>
      <w:r>
        <w:rPr>
          <w:spacing w:val="-34"/>
          <w:sz w:val="24"/>
          <w:szCs w:val="24"/>
        </w:rPr>
        <w:t xml:space="preserve"> </w:t>
      </w:r>
      <w:r>
        <w:rPr>
          <w:spacing w:val="17"/>
          <w:sz w:val="24"/>
          <w:szCs w:val="24"/>
        </w:rPr>
        <w:t>成员对各试点高校的</w:t>
      </w:r>
      <w:r>
        <w:rPr>
          <w:rFonts w:hint="eastAsia"/>
          <w:spacing w:val="17"/>
          <w:sz w:val="24"/>
          <w:szCs w:val="24"/>
          <w:lang w:val="en-US" w:eastAsia="zh-CN"/>
        </w:rPr>
        <w:t>教育硕士（职业技术教育领域）专业学位论文</w:t>
      </w:r>
      <w:r>
        <w:rPr>
          <w:spacing w:val="17"/>
          <w:sz w:val="24"/>
          <w:szCs w:val="24"/>
        </w:rPr>
        <w:t>进行了</w:t>
      </w:r>
      <w:r>
        <w:rPr>
          <w:rFonts w:hint="eastAsia"/>
          <w:spacing w:val="17"/>
          <w:sz w:val="24"/>
          <w:szCs w:val="24"/>
          <w:lang w:val="en-US" w:eastAsia="zh-CN"/>
        </w:rPr>
        <w:t>论文抽检工作</w:t>
      </w:r>
      <w:r>
        <w:rPr>
          <w:spacing w:val="6"/>
          <w:sz w:val="24"/>
          <w:szCs w:val="24"/>
        </w:rPr>
        <w:t>研，现报告如下。</w:t>
      </w:r>
    </w:p>
    <w:p>
      <w:pPr>
        <w:pStyle w:val="4"/>
        <w:spacing w:before="178" w:line="240" w:lineRule="auto"/>
        <w:ind w:left="650" w:right="0"/>
        <w:jc w:val="left"/>
        <w:rPr>
          <w:rFonts w:ascii="黑体" w:hAnsi="黑体" w:eastAsia="黑体" w:cs="黑体"/>
          <w:sz w:val="24"/>
          <w:szCs w:val="24"/>
        </w:rPr>
      </w:pPr>
      <w:r>
        <w:rPr>
          <w:rFonts w:ascii="黑体" w:hAnsi="黑体" w:eastAsia="黑体" w:cs="黑体"/>
          <w:spacing w:val="6"/>
          <w:sz w:val="24"/>
          <w:szCs w:val="24"/>
        </w:rPr>
        <w:t>一、</w:t>
      </w:r>
      <w:r>
        <w:rPr>
          <w:rFonts w:hint="eastAsia" w:ascii="黑体" w:hAnsi="黑体" w:eastAsia="黑体" w:cs="黑体"/>
          <w:spacing w:val="6"/>
          <w:sz w:val="24"/>
          <w:szCs w:val="24"/>
          <w:lang w:val="en-US" w:eastAsia="zh-CN"/>
        </w:rPr>
        <w:t>抽检方案和抽检过程</w:t>
      </w:r>
    </w:p>
    <w:p>
      <w:pPr>
        <w:spacing w:before="4" w:line="240" w:lineRule="auto"/>
        <w:rPr>
          <w:rFonts w:ascii="黑体" w:hAnsi="黑体" w:eastAsia="黑体" w:cs="黑体"/>
          <w:sz w:val="24"/>
          <w:szCs w:val="24"/>
        </w:rPr>
      </w:pPr>
    </w:p>
    <w:p>
      <w:pPr>
        <w:pStyle w:val="4"/>
        <w:spacing w:before="42" w:line="360" w:lineRule="auto"/>
        <w:ind w:right="190" w:firstLine="492" w:firstLineChars="200"/>
        <w:jc w:val="both"/>
        <w:rPr>
          <w:rFonts w:hint="eastAsia" w:cstheme="minorBidi"/>
          <w:spacing w:val="-3"/>
          <w:kern w:val="0"/>
          <w:sz w:val="24"/>
          <w:szCs w:val="24"/>
          <w:lang w:val="en-US" w:eastAsia="zh-CN" w:bidi="ar-SA"/>
        </w:rPr>
      </w:pPr>
      <w:r>
        <w:rPr>
          <w:rFonts w:hint="eastAsia"/>
          <w:spacing w:val="3"/>
          <w:sz w:val="24"/>
          <w:szCs w:val="24"/>
          <w:lang w:val="en-US" w:eastAsia="zh-CN"/>
        </w:rPr>
        <w:t>学位论文抽检</w:t>
      </w:r>
      <w:r>
        <w:rPr>
          <w:spacing w:val="3"/>
          <w:sz w:val="24"/>
          <w:szCs w:val="24"/>
        </w:rPr>
        <w:t>工作按时间进程分为方案准备、</w:t>
      </w:r>
      <w:r>
        <w:rPr>
          <w:rFonts w:hint="eastAsia"/>
          <w:spacing w:val="3"/>
          <w:sz w:val="24"/>
          <w:szCs w:val="24"/>
          <w:lang w:val="en-US" w:eastAsia="zh-CN"/>
        </w:rPr>
        <w:t>专家评阅</w:t>
      </w:r>
      <w:r>
        <w:rPr>
          <w:spacing w:val="3"/>
          <w:sz w:val="24"/>
          <w:szCs w:val="24"/>
        </w:rPr>
        <w:t>、</w:t>
      </w:r>
      <w:r>
        <w:rPr>
          <w:spacing w:val="4"/>
          <w:sz w:val="24"/>
          <w:szCs w:val="24"/>
        </w:rPr>
        <w:t>集中研讨</w:t>
      </w:r>
      <w:r>
        <w:rPr>
          <w:rFonts w:hint="eastAsia"/>
          <w:spacing w:val="4"/>
          <w:sz w:val="24"/>
          <w:szCs w:val="24"/>
          <w:lang w:val="en-US" w:eastAsia="zh-CN"/>
        </w:rPr>
        <w:t>三</w:t>
      </w:r>
      <w:r>
        <w:rPr>
          <w:spacing w:val="4"/>
          <w:sz w:val="24"/>
          <w:szCs w:val="24"/>
        </w:rPr>
        <w:t>个阶段。</w:t>
      </w:r>
      <w:r>
        <w:rPr>
          <w:rFonts w:ascii="Times New Roman" w:hAnsi="Times New Roman" w:eastAsia="Times New Roman" w:cs="Times New Roman"/>
          <w:spacing w:val="4"/>
          <w:sz w:val="24"/>
          <w:szCs w:val="24"/>
        </w:rPr>
        <w:t>201</w:t>
      </w:r>
      <w:r>
        <w:rPr>
          <w:rFonts w:hint="eastAsia" w:ascii="Times New Roman" w:hAnsi="Times New Roman" w:cs="Times New Roman"/>
          <w:spacing w:val="4"/>
          <w:sz w:val="24"/>
          <w:szCs w:val="24"/>
          <w:lang w:val="en-US" w:eastAsia="zh-CN"/>
        </w:rPr>
        <w:t>9</w:t>
      </w:r>
      <w:r>
        <w:rPr>
          <w:rFonts w:ascii="Times New Roman" w:hAnsi="Times New Roman" w:eastAsia="Times New Roman" w:cs="Times New Roman"/>
          <w:spacing w:val="13"/>
          <w:sz w:val="24"/>
          <w:szCs w:val="24"/>
        </w:rPr>
        <w:t xml:space="preserve"> </w:t>
      </w:r>
      <w:r>
        <w:rPr>
          <w:sz w:val="24"/>
          <w:szCs w:val="24"/>
        </w:rPr>
        <w:t>年</w:t>
      </w:r>
      <w:r>
        <w:rPr>
          <w:spacing w:val="-33"/>
          <w:sz w:val="24"/>
          <w:szCs w:val="24"/>
        </w:rPr>
        <w:t xml:space="preserve"> </w:t>
      </w:r>
      <w:r>
        <w:rPr>
          <w:rFonts w:hint="eastAsia" w:ascii="Times New Roman" w:hAnsi="Times New Roman" w:cs="Times New Roman"/>
          <w:sz w:val="24"/>
          <w:szCs w:val="24"/>
          <w:lang w:val="en-US" w:eastAsia="zh-CN"/>
        </w:rPr>
        <w:t>3</w:t>
      </w:r>
      <w:r>
        <w:rPr>
          <w:rFonts w:ascii="Times New Roman" w:hAnsi="Times New Roman" w:eastAsia="Times New Roman" w:cs="Times New Roman"/>
          <w:spacing w:val="11"/>
          <w:sz w:val="24"/>
          <w:szCs w:val="24"/>
        </w:rPr>
        <w:t xml:space="preserve"> </w:t>
      </w:r>
      <w:r>
        <w:rPr>
          <w:spacing w:val="2"/>
          <w:sz w:val="24"/>
          <w:szCs w:val="24"/>
        </w:rPr>
        <w:t>月，教</w:t>
      </w:r>
      <w:r>
        <w:rPr>
          <w:spacing w:val="-84"/>
          <w:sz w:val="24"/>
          <w:szCs w:val="24"/>
        </w:rPr>
        <w:t xml:space="preserve"> </w:t>
      </w:r>
      <w:r>
        <w:rPr>
          <w:spacing w:val="7"/>
          <w:sz w:val="24"/>
          <w:szCs w:val="24"/>
        </w:rPr>
        <w:t>指委秘书长召集部分专家组成员讨论</w:t>
      </w:r>
      <w:r>
        <w:rPr>
          <w:rFonts w:hint="eastAsia"/>
          <w:spacing w:val="7"/>
          <w:sz w:val="24"/>
          <w:szCs w:val="24"/>
          <w:lang w:val="en-US" w:eastAsia="zh-CN"/>
        </w:rPr>
        <w:t>学位论文抽检方案，</w:t>
      </w:r>
      <w:r>
        <w:rPr>
          <w:spacing w:val="7"/>
          <w:sz w:val="24"/>
          <w:szCs w:val="24"/>
        </w:rPr>
        <w:t>开</w:t>
      </w:r>
      <w:r>
        <w:rPr>
          <w:spacing w:val="-56"/>
          <w:sz w:val="24"/>
          <w:szCs w:val="24"/>
        </w:rPr>
        <w:t xml:space="preserve"> </w:t>
      </w:r>
      <w:r>
        <w:rPr>
          <w:spacing w:val="3"/>
          <w:sz w:val="24"/>
          <w:szCs w:val="24"/>
        </w:rPr>
        <w:t>展准备工作。</w:t>
      </w:r>
      <w:r>
        <w:rPr>
          <w:rFonts w:ascii="Times New Roman" w:hAnsi="Times New Roman" w:eastAsia="Times New Roman" w:cs="Times New Roman"/>
          <w:spacing w:val="3"/>
          <w:sz w:val="24"/>
          <w:szCs w:val="24"/>
        </w:rPr>
        <w:t>201</w:t>
      </w:r>
      <w:r>
        <w:rPr>
          <w:rFonts w:hint="eastAsia" w:ascii="Times New Roman" w:hAnsi="Times New Roman" w:cs="Times New Roman"/>
          <w:spacing w:val="3"/>
          <w:sz w:val="24"/>
          <w:szCs w:val="24"/>
          <w:lang w:val="en-US" w:eastAsia="zh-CN"/>
        </w:rPr>
        <w:t>9</w:t>
      </w:r>
      <w:r>
        <w:rPr>
          <w:sz w:val="24"/>
          <w:szCs w:val="24"/>
        </w:rPr>
        <w:t>年</w:t>
      </w:r>
      <w:r>
        <w:rPr>
          <w:spacing w:val="-34"/>
          <w:sz w:val="24"/>
          <w:szCs w:val="24"/>
        </w:rPr>
        <w:t xml:space="preserve"> </w:t>
      </w:r>
      <w:r>
        <w:rPr>
          <w:rFonts w:hint="eastAsia" w:ascii="Times New Roman" w:hAnsi="Times New Roman" w:cs="Times New Roman"/>
          <w:sz w:val="24"/>
          <w:szCs w:val="24"/>
          <w:lang w:val="en-US" w:eastAsia="zh-CN"/>
        </w:rPr>
        <w:t>4</w:t>
      </w:r>
      <w:r>
        <w:rPr>
          <w:rFonts w:ascii="Times New Roman" w:hAnsi="Times New Roman" w:eastAsia="Times New Roman" w:cs="Times New Roman"/>
          <w:spacing w:val="10"/>
          <w:sz w:val="24"/>
          <w:szCs w:val="24"/>
        </w:rPr>
        <w:t xml:space="preserve"> </w:t>
      </w:r>
      <w:r>
        <w:rPr>
          <w:spacing w:val="5"/>
          <w:sz w:val="24"/>
          <w:szCs w:val="24"/>
        </w:rPr>
        <w:t>月，教指委秘书处通过邮件</w:t>
      </w:r>
      <w:r>
        <w:rPr>
          <w:spacing w:val="-86"/>
          <w:sz w:val="24"/>
          <w:szCs w:val="24"/>
        </w:rPr>
        <w:t xml:space="preserve"> </w:t>
      </w:r>
      <w:r>
        <w:rPr>
          <w:spacing w:val="7"/>
          <w:sz w:val="24"/>
          <w:szCs w:val="24"/>
        </w:rPr>
        <w:t>向各试点培养院校发</w:t>
      </w:r>
      <w:r>
        <w:rPr>
          <w:rFonts w:hint="eastAsia"/>
          <w:spacing w:val="7"/>
          <w:sz w:val="24"/>
          <w:szCs w:val="24"/>
          <w:lang w:val="en-US" w:eastAsia="zh-CN"/>
        </w:rPr>
        <w:t>出通知</w:t>
      </w:r>
      <w:r>
        <w:rPr>
          <w:spacing w:val="7"/>
          <w:sz w:val="24"/>
          <w:szCs w:val="24"/>
        </w:rPr>
        <w:t>，</w:t>
      </w:r>
      <w:r>
        <w:rPr>
          <w:rFonts w:hint="eastAsia"/>
          <w:spacing w:val="7"/>
          <w:sz w:val="24"/>
          <w:szCs w:val="24"/>
          <w:lang w:val="en-US" w:eastAsia="zh-CN"/>
        </w:rPr>
        <w:t>征集</w:t>
      </w:r>
      <w:r>
        <w:rPr>
          <w:spacing w:val="7"/>
          <w:sz w:val="24"/>
          <w:szCs w:val="24"/>
        </w:rPr>
        <w:t>职教专硕研究</w:t>
      </w:r>
      <w:r>
        <w:rPr>
          <w:spacing w:val="-56"/>
          <w:sz w:val="24"/>
          <w:szCs w:val="24"/>
        </w:rPr>
        <w:t xml:space="preserve"> </w:t>
      </w:r>
      <w:r>
        <w:rPr>
          <w:spacing w:val="7"/>
          <w:sz w:val="24"/>
          <w:szCs w:val="24"/>
        </w:rPr>
        <w:t>生</w:t>
      </w:r>
      <w:r>
        <w:rPr>
          <w:rFonts w:hint="eastAsia"/>
          <w:spacing w:val="7"/>
          <w:sz w:val="24"/>
          <w:szCs w:val="24"/>
          <w:lang w:val="en-US" w:eastAsia="zh-CN"/>
        </w:rPr>
        <w:t>学位论文及选题数据</w:t>
      </w:r>
      <w:r>
        <w:rPr>
          <w:spacing w:val="7"/>
          <w:sz w:val="24"/>
          <w:szCs w:val="24"/>
        </w:rPr>
        <w:t>，了解</w:t>
      </w:r>
      <w:r>
        <w:rPr>
          <w:rFonts w:hint="eastAsia"/>
          <w:spacing w:val="7"/>
          <w:sz w:val="24"/>
          <w:szCs w:val="24"/>
          <w:lang w:val="en-US" w:eastAsia="zh-CN"/>
        </w:rPr>
        <w:t>各试点培养院校职教专硕学位论文及选题的整体情况</w:t>
      </w:r>
      <w:r>
        <w:rPr>
          <w:spacing w:val="-10"/>
          <w:sz w:val="24"/>
          <w:szCs w:val="24"/>
        </w:rPr>
        <w:t>。</w:t>
      </w:r>
      <w:r>
        <w:rPr>
          <w:rFonts w:ascii="Times New Roman" w:hAnsi="Times New Roman" w:eastAsia="Times New Roman" w:cs="Times New Roman"/>
          <w:spacing w:val="4"/>
          <w:sz w:val="24"/>
          <w:szCs w:val="24"/>
        </w:rPr>
        <w:t>201</w:t>
      </w:r>
      <w:r>
        <w:rPr>
          <w:rFonts w:hint="eastAsia" w:ascii="Times New Roman" w:hAnsi="Times New Roman" w:cs="Times New Roman"/>
          <w:spacing w:val="4"/>
          <w:sz w:val="24"/>
          <w:szCs w:val="24"/>
          <w:lang w:val="en-US" w:eastAsia="zh-CN"/>
        </w:rPr>
        <w:t>9</w:t>
      </w:r>
      <w:r>
        <w:rPr>
          <w:rFonts w:ascii="Times New Roman" w:hAnsi="Times New Roman" w:eastAsia="Times New Roman" w:cs="Times New Roman"/>
          <w:spacing w:val="4"/>
          <w:sz w:val="24"/>
          <w:szCs w:val="24"/>
        </w:rPr>
        <w:t xml:space="preserve"> </w:t>
      </w:r>
      <w:r>
        <w:rPr>
          <w:sz w:val="24"/>
          <w:szCs w:val="24"/>
        </w:rPr>
        <w:t xml:space="preserve">年 </w:t>
      </w:r>
      <w:r>
        <w:rPr>
          <w:rFonts w:hint="eastAsia" w:ascii="Times New Roman" w:hAnsi="Times New Roman" w:cs="Times New Roman"/>
          <w:sz w:val="24"/>
          <w:szCs w:val="24"/>
          <w:lang w:val="en-US" w:eastAsia="zh-CN"/>
        </w:rPr>
        <w:t>4</w:t>
      </w:r>
      <w:r>
        <w:rPr>
          <w:rFonts w:ascii="Times New Roman" w:hAnsi="Times New Roman" w:eastAsia="Times New Roman" w:cs="Times New Roman"/>
          <w:sz w:val="24"/>
          <w:szCs w:val="24"/>
        </w:rPr>
        <w:t xml:space="preserve"> </w:t>
      </w:r>
      <w:r>
        <w:rPr>
          <w:spacing w:val="5"/>
          <w:sz w:val="24"/>
          <w:szCs w:val="24"/>
        </w:rPr>
        <w:t>月</w:t>
      </w:r>
      <w:r>
        <w:rPr>
          <w:rFonts w:hint="eastAsia"/>
          <w:spacing w:val="5"/>
          <w:sz w:val="24"/>
          <w:szCs w:val="24"/>
          <w:lang w:val="en-US" w:eastAsia="zh-CN"/>
        </w:rPr>
        <w:t>-6月</w:t>
      </w:r>
      <w:r>
        <w:rPr>
          <w:spacing w:val="5"/>
          <w:sz w:val="24"/>
          <w:szCs w:val="24"/>
        </w:rPr>
        <w:t>，专家组</w:t>
      </w:r>
      <w:r>
        <w:rPr>
          <w:rFonts w:hint="eastAsia"/>
          <w:spacing w:val="5"/>
          <w:sz w:val="24"/>
          <w:szCs w:val="24"/>
          <w:lang w:val="en-US" w:eastAsia="zh-CN"/>
        </w:rPr>
        <w:t>5位专家对</w:t>
      </w:r>
      <w:r>
        <w:rPr>
          <w:spacing w:val="-57"/>
          <w:sz w:val="24"/>
          <w:szCs w:val="24"/>
        </w:rPr>
        <w:t xml:space="preserve"> </w:t>
      </w:r>
      <w:r>
        <w:rPr>
          <w:rFonts w:ascii="Times New Roman" w:hAnsi="Times New Roman" w:eastAsia="Times New Roman" w:cs="Times New Roman"/>
          <w:spacing w:val="3"/>
          <w:sz w:val="24"/>
          <w:szCs w:val="24"/>
        </w:rPr>
        <w:t>27</w:t>
      </w:r>
      <w:r>
        <w:rPr>
          <w:rFonts w:ascii="Times New Roman" w:hAnsi="Times New Roman" w:eastAsia="Times New Roman" w:cs="Times New Roman"/>
          <w:spacing w:val="3"/>
          <w:w w:val="100"/>
          <w:sz w:val="24"/>
          <w:szCs w:val="24"/>
        </w:rPr>
        <w:t xml:space="preserve"> </w:t>
      </w:r>
      <w:r>
        <w:rPr>
          <w:spacing w:val="7"/>
          <w:sz w:val="24"/>
          <w:szCs w:val="24"/>
        </w:rPr>
        <w:t>所培养院校</w:t>
      </w:r>
      <w:r>
        <w:rPr>
          <w:rFonts w:hint="eastAsia"/>
          <w:spacing w:val="7"/>
          <w:sz w:val="24"/>
          <w:szCs w:val="24"/>
          <w:lang w:val="en-US" w:eastAsia="zh-CN"/>
        </w:rPr>
        <w:t>截止到2019年2月28日前获得学位的300篇学位论文进行了抽检评阅工作。围绕教育硕士（职业技术教育领域）专业学位论文的选题、内容、结构、格式、影响等方面进行分析研究，对每篇评阅论文填写《教育硕士学位论文抽检专家评价表》，并对推荐论文、问题论文进行分析总结，最后形成教育硕士（职业技术教育领域）专业学位论文抽检总体情况分析报告</w:t>
      </w:r>
      <w:r>
        <w:rPr>
          <w:spacing w:val="-4"/>
          <w:sz w:val="24"/>
          <w:szCs w:val="24"/>
        </w:rPr>
        <w:t>。</w:t>
      </w:r>
      <w:r>
        <w:rPr>
          <w:rFonts w:ascii="Times New Roman" w:hAnsi="Times New Roman" w:eastAsia="Times New Roman" w:cs="Times New Roman"/>
          <w:spacing w:val="4"/>
          <w:sz w:val="24"/>
          <w:szCs w:val="24"/>
        </w:rPr>
        <w:t>201</w:t>
      </w:r>
      <w:r>
        <w:rPr>
          <w:rFonts w:hint="eastAsia" w:ascii="Times New Roman" w:hAnsi="Times New Roman" w:cs="Times New Roman"/>
          <w:spacing w:val="4"/>
          <w:sz w:val="24"/>
          <w:szCs w:val="24"/>
          <w:lang w:val="en-US" w:eastAsia="zh-CN"/>
        </w:rPr>
        <w:t>9</w:t>
      </w:r>
      <w:r>
        <w:rPr>
          <w:rFonts w:ascii="Times New Roman" w:hAnsi="Times New Roman" w:eastAsia="Times New Roman" w:cs="Times New Roman"/>
          <w:spacing w:val="15"/>
          <w:sz w:val="24"/>
          <w:szCs w:val="24"/>
        </w:rPr>
        <w:t xml:space="preserve"> </w:t>
      </w:r>
      <w:r>
        <w:rPr>
          <w:sz w:val="24"/>
          <w:szCs w:val="24"/>
        </w:rPr>
        <w:t>年</w:t>
      </w:r>
      <w:r>
        <w:rPr>
          <w:spacing w:val="-30"/>
          <w:sz w:val="24"/>
          <w:szCs w:val="24"/>
        </w:rPr>
        <w:t xml:space="preserve"> </w:t>
      </w:r>
      <w:r>
        <w:rPr>
          <w:rFonts w:hint="eastAsia"/>
          <w:spacing w:val="-30"/>
          <w:sz w:val="24"/>
          <w:szCs w:val="24"/>
          <w:lang w:val="en-US" w:eastAsia="zh-CN"/>
        </w:rPr>
        <w:t>9</w:t>
      </w:r>
      <w:r>
        <w:rPr>
          <w:rFonts w:ascii="Times New Roman" w:hAnsi="Times New Roman" w:eastAsia="Times New Roman" w:cs="Times New Roman"/>
          <w:spacing w:val="14"/>
          <w:sz w:val="24"/>
          <w:szCs w:val="24"/>
        </w:rPr>
        <w:t xml:space="preserve"> </w:t>
      </w:r>
      <w:r>
        <w:rPr>
          <w:spacing w:val="5"/>
          <w:sz w:val="24"/>
          <w:szCs w:val="24"/>
        </w:rPr>
        <w:t>月，专家组集中举</w:t>
      </w:r>
      <w:r>
        <w:rPr>
          <w:spacing w:val="-97"/>
          <w:sz w:val="24"/>
          <w:szCs w:val="24"/>
        </w:rPr>
        <w:t xml:space="preserve"> </w:t>
      </w:r>
      <w:r>
        <w:rPr>
          <w:spacing w:val="7"/>
          <w:sz w:val="24"/>
          <w:szCs w:val="24"/>
        </w:rPr>
        <w:t>行</w:t>
      </w:r>
      <w:r>
        <w:rPr>
          <w:rFonts w:hint="eastAsia"/>
          <w:spacing w:val="7"/>
          <w:sz w:val="24"/>
          <w:szCs w:val="24"/>
          <w:lang w:val="en-US" w:eastAsia="zh-CN"/>
        </w:rPr>
        <w:t>学位论文抽检</w:t>
      </w:r>
      <w:r>
        <w:rPr>
          <w:spacing w:val="7"/>
          <w:sz w:val="24"/>
          <w:szCs w:val="24"/>
        </w:rPr>
        <w:t>工作交流会，总结</w:t>
      </w:r>
      <w:r>
        <w:rPr>
          <w:rFonts w:hint="eastAsia"/>
          <w:spacing w:val="7"/>
          <w:sz w:val="24"/>
          <w:szCs w:val="24"/>
          <w:lang w:val="en-US" w:eastAsia="zh-CN"/>
        </w:rPr>
        <w:t>学位论文</w:t>
      </w:r>
      <w:r>
        <w:rPr>
          <w:spacing w:val="7"/>
          <w:sz w:val="24"/>
          <w:szCs w:val="24"/>
        </w:rPr>
        <w:t>工作经验，分</w:t>
      </w:r>
      <w:r>
        <w:rPr>
          <w:spacing w:val="-56"/>
          <w:sz w:val="24"/>
          <w:szCs w:val="24"/>
        </w:rPr>
        <w:t xml:space="preserve"> </w:t>
      </w:r>
      <w:r>
        <w:rPr>
          <w:spacing w:val="7"/>
          <w:sz w:val="24"/>
          <w:szCs w:val="24"/>
        </w:rPr>
        <w:t>析各院校存在的问题</w:t>
      </w:r>
      <w:r>
        <w:rPr>
          <w:rFonts w:hint="eastAsia"/>
          <w:spacing w:val="7"/>
          <w:sz w:val="24"/>
          <w:szCs w:val="24"/>
          <w:lang w:eastAsia="zh-CN"/>
        </w:rPr>
        <w:t>，</w:t>
      </w:r>
      <w:r>
        <w:rPr>
          <w:rFonts w:hint="eastAsia"/>
          <w:spacing w:val="7"/>
          <w:sz w:val="24"/>
          <w:szCs w:val="24"/>
          <w:lang w:val="en-US" w:eastAsia="zh-CN"/>
        </w:rPr>
        <w:t>讨论进一步规范学位论文工作的规范和质量要求，</w:t>
      </w:r>
      <w:r>
        <w:rPr>
          <w:spacing w:val="6"/>
          <w:sz w:val="24"/>
          <w:szCs w:val="24"/>
        </w:rPr>
        <w:t>形成</w:t>
      </w:r>
      <w:r>
        <w:rPr>
          <w:rFonts w:hint="eastAsia"/>
          <w:spacing w:val="6"/>
          <w:sz w:val="24"/>
          <w:szCs w:val="24"/>
          <w:lang w:val="en-US" w:eastAsia="zh-CN"/>
        </w:rPr>
        <w:t>学位论文抽检</w:t>
      </w:r>
      <w:r>
        <w:rPr>
          <w:spacing w:val="6"/>
          <w:sz w:val="24"/>
          <w:szCs w:val="24"/>
        </w:rPr>
        <w:t>报告框架。</w:t>
      </w:r>
    </w:p>
    <w:p>
      <w:pPr>
        <w:spacing w:before="12" w:line="360" w:lineRule="auto"/>
        <w:rPr>
          <w:rFonts w:ascii="宋体" w:hAnsi="宋体" w:eastAsia="宋体" w:cs="宋体"/>
          <w:sz w:val="24"/>
          <w:szCs w:val="24"/>
        </w:rPr>
      </w:pPr>
    </w:p>
    <w:p>
      <w:pPr>
        <w:pStyle w:val="4"/>
        <w:spacing w:before="0" w:line="240" w:lineRule="auto"/>
        <w:ind w:left="633" w:right="0" w:hanging="8"/>
        <w:jc w:val="left"/>
        <w:rPr>
          <w:rFonts w:hint="default" w:ascii="黑体" w:hAnsi="黑体" w:eastAsia="黑体" w:cs="黑体"/>
          <w:b/>
          <w:bCs/>
          <w:sz w:val="24"/>
          <w:szCs w:val="24"/>
          <w:lang w:val="en-US"/>
        </w:rPr>
      </w:pPr>
      <w:r>
        <w:rPr>
          <w:rFonts w:ascii="黑体" w:hAnsi="黑体" w:eastAsia="黑体" w:cs="黑体"/>
          <w:b/>
          <w:bCs/>
          <w:spacing w:val="-10"/>
          <w:sz w:val="24"/>
          <w:szCs w:val="24"/>
        </w:rPr>
        <w:t>二、职教专硕</w:t>
      </w:r>
      <w:r>
        <w:rPr>
          <w:rFonts w:hint="eastAsia" w:ascii="黑体" w:hAnsi="黑体" w:eastAsia="黑体" w:cs="黑体"/>
          <w:b/>
          <w:bCs/>
          <w:spacing w:val="-10"/>
          <w:sz w:val="24"/>
          <w:szCs w:val="24"/>
          <w:lang w:val="en-US" w:eastAsia="zh-CN"/>
        </w:rPr>
        <w:t>学位论文的总体情况分析</w:t>
      </w:r>
    </w:p>
    <w:p>
      <w:pPr>
        <w:spacing w:before="4" w:line="240" w:lineRule="auto"/>
        <w:rPr>
          <w:rFonts w:ascii="黑体" w:hAnsi="黑体" w:eastAsia="黑体" w:cs="黑体"/>
          <w:sz w:val="24"/>
          <w:szCs w:val="24"/>
        </w:rPr>
      </w:pPr>
    </w:p>
    <w:p>
      <w:pPr>
        <w:pStyle w:val="4"/>
        <w:numPr>
          <w:ilvl w:val="0"/>
          <w:numId w:val="0"/>
        </w:numPr>
        <w:spacing w:before="0" w:line="360" w:lineRule="auto"/>
        <w:ind w:left="649" w:leftChars="0" w:right="0" w:rightChars="0"/>
        <w:jc w:val="left"/>
        <w:rPr>
          <w:b/>
          <w:bCs/>
          <w:w w:val="100"/>
          <w:sz w:val="24"/>
          <w:szCs w:val="24"/>
        </w:rPr>
      </w:pPr>
      <w:r>
        <w:rPr>
          <w:rFonts w:hint="eastAsia"/>
          <w:b/>
          <w:bCs/>
          <w:spacing w:val="5"/>
          <w:sz w:val="24"/>
          <w:szCs w:val="24"/>
          <w:lang w:val="en-US" w:eastAsia="zh-CN"/>
        </w:rPr>
        <w:t>1.论文选题的范围</w:t>
      </w:r>
      <w:r>
        <w:rPr>
          <w:b/>
          <w:bCs/>
          <w:w w:val="100"/>
          <w:sz w:val="24"/>
          <w:szCs w:val="24"/>
        </w:rPr>
        <w:t xml:space="preserve"> </w:t>
      </w:r>
    </w:p>
    <w:p>
      <w:pPr>
        <w:pStyle w:val="4"/>
        <w:spacing w:before="8" w:line="360" w:lineRule="auto"/>
        <w:ind w:right="99" w:firstLine="468" w:firstLineChars="200"/>
        <w:jc w:val="both"/>
        <w:rPr>
          <w:rFonts w:ascii="宋体" w:hAnsi="宋体" w:eastAsia="宋体" w:cs="宋体"/>
          <w:sz w:val="24"/>
          <w:szCs w:val="24"/>
        </w:rPr>
      </w:pPr>
      <w:r>
        <w:rPr>
          <w:spacing w:val="-3"/>
          <w:sz w:val="24"/>
          <w:szCs w:val="24"/>
        </w:rPr>
        <w:t>教</w:t>
      </w:r>
      <w:r>
        <w:rPr>
          <w:rFonts w:hint="eastAsia"/>
          <w:spacing w:val="-3"/>
          <w:sz w:val="24"/>
          <w:szCs w:val="24"/>
          <w:lang w:val="en-US" w:eastAsia="zh-CN"/>
        </w:rPr>
        <w:t>指委</w:t>
      </w:r>
      <w:r>
        <w:rPr>
          <w:spacing w:val="-3"/>
          <w:sz w:val="24"/>
          <w:szCs w:val="24"/>
        </w:rPr>
        <w:t>颁布的《</w:t>
      </w:r>
      <w:r>
        <w:rPr>
          <w:rFonts w:hint="eastAsia" w:ascii="宋体" w:hAnsi="宋体" w:eastAsia="宋体" w:cstheme="minorBidi"/>
          <w:spacing w:val="-3"/>
          <w:kern w:val="0"/>
          <w:sz w:val="24"/>
          <w:szCs w:val="24"/>
          <w:lang w:val="en-US" w:eastAsia="en-US" w:bidi="ar-SA"/>
        </w:rPr>
        <w:t>全日制教育硕士专业学位研究生（职业技术教育领域）指导性培养方案（试行）</w:t>
      </w:r>
      <w:r>
        <w:rPr>
          <w:spacing w:val="-10"/>
          <w:sz w:val="24"/>
          <w:szCs w:val="24"/>
        </w:rPr>
        <w:t>》</w:t>
      </w:r>
      <w:r>
        <w:rPr>
          <w:rFonts w:hint="eastAsia"/>
          <w:spacing w:val="-10"/>
          <w:sz w:val="24"/>
          <w:szCs w:val="24"/>
          <w:lang w:val="en-US" w:eastAsia="zh-CN"/>
        </w:rPr>
        <w:t>要求，“</w:t>
      </w:r>
      <w:r>
        <w:rPr>
          <w:rFonts w:hint="eastAsia" w:ascii="宋体" w:hAnsi="宋体" w:eastAsia="宋体" w:cstheme="minorBidi"/>
          <w:spacing w:val="-3"/>
          <w:kern w:val="0"/>
          <w:sz w:val="24"/>
          <w:szCs w:val="24"/>
          <w:lang w:val="en-US" w:eastAsia="en-US" w:bidi="ar-SA"/>
        </w:rPr>
        <w:t>学位论文选题应紧密联系职业技术教育实践，来源于中等职业学校教育教学中的实际问题。</w:t>
      </w:r>
      <w:r>
        <w:rPr>
          <w:rFonts w:hint="eastAsia" w:cstheme="minorBidi"/>
          <w:spacing w:val="-3"/>
          <w:kern w:val="0"/>
          <w:sz w:val="24"/>
          <w:szCs w:val="24"/>
          <w:lang w:val="en-US" w:eastAsia="zh-CN" w:bidi="ar-SA"/>
        </w:rPr>
        <w:t>”统计结果表明（见表1），300篇抽检论文中，研究对象为“中职学校”的论文选题226篇，占比为75.3%，这些论文符合指导性培养方案的要求。研究对象为“高职院校”的论文选题57篇，17篇论文选题以“中学”或“大学”为研究对象，占比达到24.7%，这些论文不符合指导性培养方案对学位论文选题的要求。此外，研究对象为“高职院校”和“非职业院校”的论文选题分布比较集中，其中，第一组、第三组的占比接近40%，个别培养单位“不符合要求”的论文选题超过60%。</w:t>
      </w:r>
    </w:p>
    <w:p>
      <w:pPr>
        <w:pStyle w:val="4"/>
        <w:spacing w:before="8" w:line="360" w:lineRule="auto"/>
        <w:ind w:right="99" w:firstLine="340" w:firstLineChars="200"/>
        <w:jc w:val="center"/>
        <w:rPr>
          <w:rFonts w:hint="eastAsia" w:ascii="宋体" w:hAnsi="宋体" w:eastAsia="宋体" w:cs="宋体"/>
          <w:spacing w:val="6"/>
          <w:sz w:val="17"/>
          <w:szCs w:val="17"/>
          <w:lang w:val="en-US" w:eastAsia="zh-CN"/>
        </w:rPr>
      </w:pPr>
      <w:r>
        <w:rPr>
          <w:rFonts w:ascii="宋体" w:hAnsi="宋体" w:eastAsia="宋体" w:cs="宋体"/>
          <w:sz w:val="17"/>
          <w:szCs w:val="17"/>
        </w:rPr>
        <w:t xml:space="preserve">表 </w:t>
      </w:r>
      <w:r>
        <w:rPr>
          <w:rFonts w:ascii="Times New Roman" w:hAnsi="Times New Roman" w:eastAsia="Times New Roman" w:cs="Times New Roman"/>
          <w:sz w:val="17"/>
          <w:szCs w:val="17"/>
        </w:rPr>
        <w:t xml:space="preserve">1   </w:t>
      </w:r>
      <w:r>
        <w:rPr>
          <w:rFonts w:ascii="Times New Roman" w:hAnsi="Times New Roman" w:eastAsia="Times New Roman" w:cs="Times New Roman"/>
          <w:spacing w:val="6"/>
          <w:sz w:val="17"/>
          <w:szCs w:val="17"/>
        </w:rPr>
        <w:t xml:space="preserve"> </w:t>
      </w:r>
      <w:r>
        <w:rPr>
          <w:rFonts w:ascii="宋体" w:hAnsi="宋体" w:eastAsia="宋体" w:cs="宋体"/>
          <w:spacing w:val="6"/>
          <w:sz w:val="17"/>
          <w:szCs w:val="17"/>
        </w:rPr>
        <w:t>职教专硕</w:t>
      </w:r>
      <w:r>
        <w:rPr>
          <w:rFonts w:hint="eastAsia" w:ascii="宋体" w:hAnsi="宋体" w:eastAsia="宋体" w:cs="宋体"/>
          <w:spacing w:val="6"/>
          <w:sz w:val="17"/>
          <w:szCs w:val="17"/>
          <w:lang w:val="en-US" w:eastAsia="zh-CN"/>
        </w:rPr>
        <w:t>学位论文选题的范围分布</w:t>
      </w:r>
    </w:p>
    <w:tbl>
      <w:tblPr>
        <w:tblStyle w:val="10"/>
        <w:tblW w:w="5424" w:type="dxa"/>
        <w:jc w:val="center"/>
        <w:tblInd w:w="0" w:type="dxa"/>
        <w:tblLayout w:type="fixed"/>
        <w:tblCellMar>
          <w:top w:w="0" w:type="dxa"/>
          <w:left w:w="0" w:type="dxa"/>
          <w:bottom w:w="0" w:type="dxa"/>
          <w:right w:w="0" w:type="dxa"/>
        </w:tblCellMar>
      </w:tblPr>
      <w:tblGrid>
        <w:gridCol w:w="1379"/>
        <w:gridCol w:w="1083"/>
        <w:gridCol w:w="934"/>
        <w:gridCol w:w="1191"/>
        <w:gridCol w:w="837"/>
      </w:tblGrid>
      <w:tr>
        <w:tblPrEx>
          <w:tblLayout w:type="fixed"/>
        </w:tblPrEx>
        <w:trPr>
          <w:trHeight w:val="553" w:hRule="exact"/>
          <w:jc w:val="center"/>
        </w:trPr>
        <w:tc>
          <w:tcPr>
            <w:tcW w:w="137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组别</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中职学校</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高职院校</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非职业院校</w:t>
            </w:r>
          </w:p>
        </w:tc>
        <w:tc>
          <w:tcPr>
            <w:tcW w:w="83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合计</w:t>
            </w:r>
          </w:p>
        </w:tc>
      </w:tr>
      <w:tr>
        <w:tblPrEx>
          <w:tblLayout w:type="fixed"/>
        </w:tblPrEx>
        <w:trPr>
          <w:trHeight w:val="293"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第一组</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36</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20</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02"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第二组</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51</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6</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4</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12"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第三组</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37</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23</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0</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60</w:t>
            </w:r>
          </w:p>
        </w:tc>
      </w:tr>
      <w:tr>
        <w:tblPrEx>
          <w:tblLayout w:type="fixed"/>
        </w:tblPrEx>
        <w:trPr>
          <w:trHeight w:val="293"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第四组</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58</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293"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第五组</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44</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7</w:t>
            </w:r>
          </w:p>
        </w:tc>
        <w:tc>
          <w:tcPr>
            <w:tcW w:w="11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6</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57</w:t>
            </w:r>
          </w:p>
        </w:tc>
      </w:tr>
      <w:tr>
        <w:tblPrEx>
          <w:tblLayout w:type="fixed"/>
        </w:tblPrEx>
        <w:trPr>
          <w:trHeight w:val="293"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合计</w:t>
            </w:r>
          </w:p>
        </w:tc>
        <w:tc>
          <w:tcPr>
            <w:tcW w:w="1083"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226</w:t>
            </w:r>
          </w:p>
        </w:tc>
        <w:tc>
          <w:tcPr>
            <w:tcW w:w="934"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57</w:t>
            </w:r>
          </w:p>
        </w:tc>
        <w:tc>
          <w:tcPr>
            <w:tcW w:w="1191"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17</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300</w:t>
            </w:r>
          </w:p>
        </w:tc>
      </w:tr>
      <w:tr>
        <w:tblPrEx>
          <w:tblLayout w:type="fixed"/>
        </w:tblPrEx>
        <w:trPr>
          <w:trHeight w:val="293" w:hRule="exact"/>
          <w:jc w:val="center"/>
        </w:trPr>
        <w:tc>
          <w:tcPr>
            <w:tcW w:w="137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比例（%）</w:t>
            </w:r>
          </w:p>
        </w:tc>
        <w:tc>
          <w:tcPr>
            <w:tcW w:w="1083"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75.3%</w:t>
            </w:r>
          </w:p>
        </w:tc>
        <w:tc>
          <w:tcPr>
            <w:tcW w:w="934"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19%</w:t>
            </w:r>
          </w:p>
        </w:tc>
        <w:tc>
          <w:tcPr>
            <w:tcW w:w="1191"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5.7%</w:t>
            </w:r>
          </w:p>
        </w:tc>
        <w:tc>
          <w:tcPr>
            <w:tcW w:w="83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100%</w:t>
            </w:r>
          </w:p>
        </w:tc>
      </w:tr>
    </w:tbl>
    <w:p>
      <w:pPr>
        <w:pStyle w:val="4"/>
        <w:spacing w:before="30" w:line="240" w:lineRule="auto"/>
        <w:ind w:left="650" w:right="0"/>
        <w:jc w:val="left"/>
        <w:rPr>
          <w:rFonts w:ascii="Times New Roman" w:hAnsi="Times New Roman" w:eastAsia="Times New Roman" w:cs="Times New Roman"/>
          <w:spacing w:val="5"/>
        </w:rPr>
      </w:pPr>
    </w:p>
    <w:p>
      <w:pPr>
        <w:pStyle w:val="4"/>
        <w:spacing w:before="30" w:line="360" w:lineRule="auto"/>
        <w:ind w:left="650" w:right="0"/>
        <w:jc w:val="left"/>
        <w:rPr>
          <w:rFonts w:hint="default"/>
          <w:b/>
          <w:bCs/>
          <w:sz w:val="24"/>
          <w:szCs w:val="24"/>
          <w:lang w:val="en-US"/>
        </w:rPr>
      </w:pPr>
      <w:r>
        <w:rPr>
          <w:rFonts w:ascii="Times New Roman" w:hAnsi="Times New Roman" w:eastAsia="Times New Roman" w:cs="Times New Roman"/>
          <w:b/>
          <w:bCs/>
          <w:spacing w:val="5"/>
          <w:sz w:val="24"/>
          <w:szCs w:val="24"/>
        </w:rPr>
        <w:t>2.</w:t>
      </w:r>
      <w:r>
        <w:rPr>
          <w:rFonts w:hint="eastAsia" w:ascii="Times New Roman" w:hAnsi="Times New Roman" w:cs="Times New Roman"/>
          <w:b/>
          <w:bCs/>
          <w:spacing w:val="5"/>
          <w:sz w:val="24"/>
          <w:szCs w:val="24"/>
          <w:lang w:val="en-US" w:eastAsia="zh-CN"/>
        </w:rPr>
        <w:t>论文形式的主要类型</w:t>
      </w:r>
    </w:p>
    <w:p>
      <w:pPr>
        <w:pStyle w:val="4"/>
        <w:spacing w:line="360" w:lineRule="auto"/>
        <w:ind w:right="0" w:firstLine="416"/>
        <w:jc w:val="both"/>
        <w:rPr>
          <w:spacing w:val="6"/>
          <w:sz w:val="24"/>
          <w:szCs w:val="24"/>
        </w:rPr>
      </w:pPr>
      <w:r>
        <w:rPr>
          <w:spacing w:val="7"/>
          <w:sz w:val="24"/>
          <w:szCs w:val="24"/>
        </w:rPr>
        <w:t>各培养院校</w:t>
      </w:r>
      <w:r>
        <w:rPr>
          <w:rFonts w:hint="eastAsia"/>
          <w:spacing w:val="7"/>
          <w:sz w:val="24"/>
          <w:szCs w:val="24"/>
          <w:lang w:val="en-US" w:eastAsia="zh-CN"/>
        </w:rPr>
        <w:t>在职教专硕学位论文的形式上进行了积极探索，出现专题研究、调研报告、案例分析、课程开发和教材分析等论文形式，多样化特征明显，统计结果见表2</w:t>
      </w:r>
      <w:r>
        <w:rPr>
          <w:spacing w:val="3"/>
          <w:sz w:val="24"/>
          <w:szCs w:val="24"/>
        </w:rPr>
        <w:t>。</w:t>
      </w:r>
      <w:r>
        <w:rPr>
          <w:rFonts w:hint="eastAsia"/>
          <w:spacing w:val="3"/>
          <w:sz w:val="24"/>
          <w:szCs w:val="24"/>
          <w:lang w:val="en-US" w:eastAsia="zh-CN"/>
        </w:rPr>
        <w:t>由表2可以看出，</w:t>
      </w:r>
      <w:r>
        <w:rPr>
          <w:spacing w:val="6"/>
          <w:sz w:val="24"/>
          <w:szCs w:val="24"/>
        </w:rPr>
        <w:t>“</w:t>
      </w:r>
      <w:r>
        <w:rPr>
          <w:rFonts w:hint="eastAsia"/>
          <w:spacing w:val="6"/>
          <w:sz w:val="24"/>
          <w:szCs w:val="24"/>
          <w:lang w:val="en-US" w:eastAsia="zh-CN"/>
        </w:rPr>
        <w:t>专题研究</w:t>
      </w:r>
      <w:r>
        <w:rPr>
          <w:spacing w:val="7"/>
          <w:sz w:val="24"/>
          <w:szCs w:val="24"/>
        </w:rPr>
        <w:t>”</w:t>
      </w:r>
      <w:r>
        <w:rPr>
          <w:rFonts w:hint="eastAsia"/>
          <w:spacing w:val="7"/>
          <w:sz w:val="24"/>
          <w:szCs w:val="24"/>
          <w:lang w:val="en-US" w:eastAsia="zh-CN"/>
        </w:rPr>
        <w:t>和“案例分析”分别占到34.4%和47%，是职教专硕士学位论文的主要类型。“调研报告”和“课程开发/教材分析”比例分别为10%和8.6%，数量相对较少，属于正在探索中的论文形式。其中，“调研报告”主要用在学生学习研究和教师职业能力研究方面，特点是以量化的问卷调查和数据分析为主，“课程开发/教材分析”主要用于具体专业课程的内容开发、教学设计等方面。</w:t>
      </w:r>
    </w:p>
    <w:p>
      <w:pPr>
        <w:pStyle w:val="4"/>
        <w:spacing w:line="292" w:lineRule="auto"/>
        <w:ind w:right="0" w:firstLine="416"/>
        <w:jc w:val="center"/>
        <w:rPr>
          <w:spacing w:val="6"/>
        </w:rPr>
      </w:pPr>
      <w:r>
        <w:rPr>
          <w:rFonts w:ascii="宋体" w:hAnsi="宋体" w:eastAsia="宋体" w:cs="宋体"/>
          <w:sz w:val="17"/>
          <w:szCs w:val="17"/>
        </w:rPr>
        <w:t>表</w:t>
      </w:r>
      <w:r>
        <w:rPr>
          <w:rFonts w:ascii="Times New Roman" w:hAnsi="Times New Roman" w:eastAsia="Times New Roman" w:cs="Times New Roman"/>
          <w:sz w:val="17"/>
          <w:szCs w:val="17"/>
        </w:rPr>
        <w:t>2</w:t>
      </w:r>
      <w:r>
        <w:rPr>
          <w:rFonts w:hint="eastAsia" w:ascii="Times New Roman" w:hAnsi="Times New Roman" w:cs="Times New Roman"/>
          <w:sz w:val="17"/>
          <w:szCs w:val="17"/>
          <w:lang w:val="en-US" w:eastAsia="zh-CN"/>
        </w:rPr>
        <w:t xml:space="preserve"> </w:t>
      </w:r>
      <w:r>
        <w:rPr>
          <w:rFonts w:ascii="Times New Roman" w:hAnsi="Times New Roman" w:eastAsia="Times New Roman" w:cs="Times New Roman"/>
          <w:sz w:val="17"/>
          <w:szCs w:val="17"/>
        </w:rPr>
        <w:t xml:space="preserve"> </w:t>
      </w:r>
      <w:r>
        <w:rPr>
          <w:rFonts w:ascii="宋体" w:hAnsi="宋体" w:eastAsia="宋体" w:cs="宋体"/>
          <w:spacing w:val="6"/>
          <w:sz w:val="17"/>
          <w:szCs w:val="17"/>
        </w:rPr>
        <w:t>职教专硕</w:t>
      </w:r>
      <w:r>
        <w:rPr>
          <w:rFonts w:hint="eastAsia" w:cs="宋体"/>
          <w:spacing w:val="6"/>
          <w:sz w:val="17"/>
          <w:szCs w:val="17"/>
          <w:lang w:val="en-US" w:eastAsia="zh-CN"/>
        </w:rPr>
        <w:t>学位论文形式的类型</w:t>
      </w:r>
      <w:r>
        <w:rPr>
          <w:rFonts w:ascii="宋体" w:hAnsi="宋体" w:eastAsia="宋体" w:cs="宋体"/>
          <w:spacing w:val="6"/>
          <w:sz w:val="17"/>
          <w:szCs w:val="17"/>
        </w:rPr>
        <w:t>分布</w:t>
      </w:r>
    </w:p>
    <w:tbl>
      <w:tblPr>
        <w:tblStyle w:val="10"/>
        <w:tblW w:w="5871" w:type="dxa"/>
        <w:jc w:val="center"/>
        <w:tblInd w:w="0" w:type="dxa"/>
        <w:tblLayout w:type="fixed"/>
        <w:tblCellMar>
          <w:top w:w="0" w:type="dxa"/>
          <w:left w:w="0" w:type="dxa"/>
          <w:bottom w:w="0" w:type="dxa"/>
          <w:right w:w="0" w:type="dxa"/>
        </w:tblCellMar>
      </w:tblPr>
      <w:tblGrid>
        <w:gridCol w:w="1027"/>
        <w:gridCol w:w="903"/>
        <w:gridCol w:w="1019"/>
        <w:gridCol w:w="922"/>
        <w:gridCol w:w="1112"/>
        <w:gridCol w:w="888"/>
      </w:tblGrid>
      <w:tr>
        <w:tblPrEx>
          <w:tblLayout w:type="fixed"/>
        </w:tblPrEx>
        <w:trPr>
          <w:trHeight w:val="643" w:hRule="exact"/>
          <w:jc w:val="center"/>
        </w:trPr>
        <w:tc>
          <w:tcPr>
            <w:tcW w:w="10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组别</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专题研究</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调研报告</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案例分析</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课程开发</w:t>
            </w:r>
          </w:p>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教材分析</w:t>
            </w:r>
          </w:p>
        </w:tc>
        <w:tc>
          <w:tcPr>
            <w:tcW w:w="88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合计</w:t>
            </w:r>
          </w:p>
        </w:tc>
      </w:tr>
      <w:tr>
        <w:tblPrEx>
          <w:tblLayout w:type="fixed"/>
        </w:tblPrEx>
        <w:trPr>
          <w:trHeight w:val="293"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第一组</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30</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23</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02"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第二组</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22</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8</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24</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7</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12"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第三组</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21</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31</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60</w:t>
            </w:r>
          </w:p>
        </w:tc>
      </w:tr>
      <w:tr>
        <w:tblPrEx>
          <w:tblLayout w:type="fixed"/>
        </w:tblPrEx>
        <w:trPr>
          <w:trHeight w:val="293"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第四组</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14</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31</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293"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第五组</w:t>
            </w:r>
          </w:p>
        </w:tc>
        <w:tc>
          <w:tcPr>
            <w:tcW w:w="90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16</w:t>
            </w:r>
          </w:p>
        </w:tc>
        <w:tc>
          <w:tcPr>
            <w:tcW w:w="101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6</w:t>
            </w:r>
          </w:p>
        </w:tc>
        <w:tc>
          <w:tcPr>
            <w:tcW w:w="92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32</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57</w:t>
            </w:r>
          </w:p>
        </w:tc>
      </w:tr>
      <w:tr>
        <w:tblPrEx>
          <w:tblLayout w:type="fixed"/>
        </w:tblPrEx>
        <w:trPr>
          <w:trHeight w:val="293"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合计</w:t>
            </w:r>
          </w:p>
        </w:tc>
        <w:tc>
          <w:tcPr>
            <w:tcW w:w="903"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103</w:t>
            </w:r>
          </w:p>
        </w:tc>
        <w:tc>
          <w:tcPr>
            <w:tcW w:w="101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30</w:t>
            </w:r>
          </w:p>
        </w:tc>
        <w:tc>
          <w:tcPr>
            <w:tcW w:w="922"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141</w:t>
            </w:r>
          </w:p>
        </w:tc>
        <w:tc>
          <w:tcPr>
            <w:tcW w:w="1112"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26</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300</w:t>
            </w:r>
          </w:p>
        </w:tc>
      </w:tr>
      <w:tr>
        <w:tblPrEx>
          <w:tblLayout w:type="fixed"/>
        </w:tblPrEx>
        <w:trPr>
          <w:trHeight w:val="293" w:hRule="exact"/>
          <w:jc w:val="center"/>
        </w:trPr>
        <w:tc>
          <w:tcPr>
            <w:tcW w:w="102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比例（%）</w:t>
            </w:r>
          </w:p>
        </w:tc>
        <w:tc>
          <w:tcPr>
            <w:tcW w:w="903"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34.4%</w:t>
            </w:r>
          </w:p>
        </w:tc>
        <w:tc>
          <w:tcPr>
            <w:tcW w:w="1019"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w:t>
            </w:r>
          </w:p>
        </w:tc>
        <w:tc>
          <w:tcPr>
            <w:tcW w:w="922"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47%</w:t>
            </w:r>
          </w:p>
        </w:tc>
        <w:tc>
          <w:tcPr>
            <w:tcW w:w="1112"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8.6%</w:t>
            </w:r>
          </w:p>
        </w:tc>
        <w:tc>
          <w:tcPr>
            <w:tcW w:w="888"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100%</w:t>
            </w:r>
          </w:p>
        </w:tc>
      </w:tr>
    </w:tbl>
    <w:p>
      <w:pPr>
        <w:pStyle w:val="4"/>
        <w:spacing w:before="8" w:line="285" w:lineRule="auto"/>
        <w:ind w:right="100" w:firstLine="416"/>
        <w:jc w:val="both"/>
        <w:rPr>
          <w:rFonts w:ascii="宋体" w:hAnsi="宋体" w:eastAsia="宋体" w:cs="宋体"/>
          <w:sz w:val="17"/>
          <w:szCs w:val="17"/>
        </w:rPr>
      </w:pPr>
    </w:p>
    <w:p>
      <w:pPr>
        <w:pStyle w:val="4"/>
        <w:numPr>
          <w:ilvl w:val="0"/>
          <w:numId w:val="0"/>
        </w:numPr>
        <w:spacing w:line="360" w:lineRule="auto"/>
        <w:ind w:right="0" w:rightChars="0" w:firstLine="751" w:firstLineChars="300"/>
        <w:jc w:val="left"/>
        <w:rPr>
          <w:rFonts w:hint="default"/>
          <w:b/>
          <w:bCs/>
          <w:sz w:val="24"/>
          <w:szCs w:val="24"/>
          <w:lang w:val="en-US"/>
        </w:rPr>
      </w:pPr>
      <w:r>
        <w:rPr>
          <w:rFonts w:hint="eastAsia" w:ascii="Times New Roman" w:hAnsi="Times New Roman" w:cs="Times New Roman"/>
          <w:b/>
          <w:bCs/>
          <w:spacing w:val="5"/>
          <w:sz w:val="24"/>
          <w:szCs w:val="24"/>
          <w:lang w:val="en-US" w:eastAsia="zh-CN"/>
        </w:rPr>
        <w:t>3、论文内容的层次分布</w:t>
      </w:r>
    </w:p>
    <w:p>
      <w:pPr>
        <w:pStyle w:val="4"/>
        <w:spacing w:before="8" w:line="360" w:lineRule="auto"/>
        <w:ind w:right="100" w:firstLine="416"/>
        <w:jc w:val="both"/>
        <w:rPr>
          <w:sz w:val="24"/>
          <w:szCs w:val="24"/>
        </w:rPr>
      </w:pPr>
      <w:r>
        <w:rPr>
          <w:rFonts w:hint="eastAsia"/>
          <w:spacing w:val="5"/>
          <w:sz w:val="24"/>
          <w:szCs w:val="24"/>
          <w:lang w:val="en-US" w:eastAsia="zh-CN"/>
        </w:rPr>
        <w:t>为了更加清晰地了解职教专硕学位论文的研究内容，抽检方案把研究内容分为微观、中观和宏观三个层次。微观层次主要研究具体的专业课程和教学问题，包括专业课程的开发、教学设计、教学方法、教材分析、专业技能培养、理实一体化教学、实践实训教学等内容；中观层次主要研究专业建设和人才培养问题，包括专业建设方案、人才培养模式、专业设置、专业课程体系、教师专业发展、学生学习状态、教学质量、教学管理等内容；宏观层次主要从整体上研究职业教育的理论与政策问题，包括职业教育与经济的关系、职业教育与行业的关系、职业教育体系建设、区域职业教育规划和发展战略、产教融合政策、校企合作模式、行业发展趋势，以及其他超出职业教育范围的内容。统计结果表明（见表3），研究内容为微观层次的论文168篇，占56%，中观层次的论文118篇，占39.3%，宏观层次的论文14篇，占4.7%。其中，第一组中观层次、宏观层次的论文占比较高，合计占57.4%；第二组中观层次的论文比例较高，占47.5%。根据培养方案的要求，专业学位论文应围绕专业课程与教学的实际问题，中观层次、宏观层次论文占比偏高，需要引起重视。</w:t>
      </w:r>
    </w:p>
    <w:p>
      <w:pPr>
        <w:pStyle w:val="4"/>
        <w:spacing w:before="8" w:line="285" w:lineRule="auto"/>
        <w:ind w:right="100" w:firstLine="416"/>
        <w:jc w:val="center"/>
        <w:rPr>
          <w:rFonts w:hint="eastAsia" w:cs="宋体"/>
          <w:spacing w:val="6"/>
          <w:sz w:val="17"/>
          <w:szCs w:val="17"/>
          <w:lang w:val="en-US" w:eastAsia="zh-CN"/>
        </w:rPr>
      </w:pPr>
      <w:r>
        <w:rPr>
          <w:rFonts w:ascii="宋体" w:hAnsi="宋体" w:eastAsia="宋体" w:cs="宋体"/>
          <w:sz w:val="17"/>
          <w:szCs w:val="17"/>
        </w:rPr>
        <w:t>表</w:t>
      </w:r>
      <w:r>
        <w:rPr>
          <w:rFonts w:ascii="Times New Roman" w:hAnsi="Times New Roman" w:eastAsia="Times New Roman" w:cs="Times New Roman"/>
          <w:sz w:val="17"/>
          <w:szCs w:val="17"/>
        </w:rPr>
        <w:t xml:space="preserve">3  </w:t>
      </w:r>
      <w:r>
        <w:rPr>
          <w:rFonts w:ascii="宋体" w:hAnsi="宋体" w:eastAsia="宋体" w:cs="宋体"/>
          <w:spacing w:val="6"/>
          <w:sz w:val="17"/>
          <w:szCs w:val="17"/>
        </w:rPr>
        <w:t>职教专硕</w:t>
      </w:r>
      <w:r>
        <w:rPr>
          <w:rFonts w:hint="eastAsia" w:cs="宋体"/>
          <w:spacing w:val="6"/>
          <w:sz w:val="17"/>
          <w:szCs w:val="17"/>
          <w:lang w:val="en-US" w:eastAsia="zh-CN"/>
        </w:rPr>
        <w:t>学位论文的内容层次</w:t>
      </w:r>
    </w:p>
    <w:tbl>
      <w:tblPr>
        <w:tblStyle w:val="10"/>
        <w:tblW w:w="5492" w:type="dxa"/>
        <w:jc w:val="center"/>
        <w:tblInd w:w="0" w:type="dxa"/>
        <w:tblLayout w:type="fixed"/>
        <w:tblCellMar>
          <w:top w:w="0" w:type="dxa"/>
          <w:left w:w="0" w:type="dxa"/>
          <w:bottom w:w="0" w:type="dxa"/>
          <w:right w:w="0" w:type="dxa"/>
        </w:tblCellMar>
      </w:tblPr>
      <w:tblGrid>
        <w:gridCol w:w="1375"/>
        <w:gridCol w:w="976"/>
        <w:gridCol w:w="934"/>
        <w:gridCol w:w="960"/>
        <w:gridCol w:w="1247"/>
      </w:tblGrid>
      <w:tr>
        <w:tblPrEx>
          <w:tblLayout w:type="fixed"/>
        </w:tblPrEx>
        <w:trPr>
          <w:trHeight w:val="553" w:hRule="exact"/>
          <w:jc w:val="center"/>
        </w:trPr>
        <w:tc>
          <w:tcPr>
            <w:tcW w:w="137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组别</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微观层次</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中观层次</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宏观层次</w:t>
            </w:r>
          </w:p>
        </w:tc>
        <w:tc>
          <w:tcPr>
            <w:tcW w:w="124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合计</w:t>
            </w:r>
          </w:p>
        </w:tc>
      </w:tr>
      <w:tr>
        <w:tblPrEx>
          <w:tblLayout w:type="fixed"/>
        </w:tblPrEx>
        <w:trPr>
          <w:trHeight w:val="293"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第一组</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26</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32</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02"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第二组</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28</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29</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4</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312"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第三组</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36</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21</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60</w:t>
            </w:r>
          </w:p>
        </w:tc>
      </w:tr>
      <w:tr>
        <w:tblPrEx>
          <w:tblLayout w:type="fixed"/>
        </w:tblPrEx>
        <w:trPr>
          <w:trHeight w:val="293"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第四组</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46</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14</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61</w:t>
            </w:r>
          </w:p>
        </w:tc>
      </w:tr>
      <w:tr>
        <w:tblPrEx>
          <w:tblLayout w:type="fixed"/>
        </w:tblPrEx>
        <w:trPr>
          <w:trHeight w:val="293"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第五组</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32</w:t>
            </w:r>
          </w:p>
        </w:tc>
        <w:tc>
          <w:tcPr>
            <w:tcW w:w="93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22</w:t>
            </w:r>
          </w:p>
        </w:tc>
        <w:tc>
          <w:tcPr>
            <w:tcW w:w="9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57</w:t>
            </w:r>
          </w:p>
        </w:tc>
      </w:tr>
      <w:tr>
        <w:tblPrEx>
          <w:tblLayout w:type="fixed"/>
        </w:tblPrEx>
        <w:trPr>
          <w:trHeight w:val="293"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合计</w:t>
            </w:r>
          </w:p>
        </w:tc>
        <w:tc>
          <w:tcPr>
            <w:tcW w:w="976"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168</w:t>
            </w:r>
          </w:p>
        </w:tc>
        <w:tc>
          <w:tcPr>
            <w:tcW w:w="934"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118</w:t>
            </w:r>
          </w:p>
        </w:tc>
        <w:tc>
          <w:tcPr>
            <w:tcW w:w="960"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14</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300</w:t>
            </w:r>
          </w:p>
        </w:tc>
      </w:tr>
      <w:tr>
        <w:tblPrEx>
          <w:tblLayout w:type="fixed"/>
        </w:tblPrEx>
        <w:trPr>
          <w:trHeight w:val="293" w:hRule="exact"/>
          <w:jc w:val="center"/>
        </w:trPr>
        <w:tc>
          <w:tcPr>
            <w:tcW w:w="1375"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比例（%）</w:t>
            </w:r>
          </w:p>
        </w:tc>
        <w:tc>
          <w:tcPr>
            <w:tcW w:w="976"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56%</w:t>
            </w:r>
          </w:p>
        </w:tc>
        <w:tc>
          <w:tcPr>
            <w:tcW w:w="934"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39.3%</w:t>
            </w:r>
          </w:p>
        </w:tc>
        <w:tc>
          <w:tcPr>
            <w:tcW w:w="960"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4.7%</w:t>
            </w:r>
          </w:p>
        </w:tc>
        <w:tc>
          <w:tcPr>
            <w:tcW w:w="1247" w:type="dxa"/>
            <w:tcBorders>
              <w:top w:val="single" w:color="000000" w:sz="4" w:space="0"/>
              <w:left w:val="single" w:color="000000" w:sz="4" w:space="0"/>
              <w:bottom w:val="single" w:color="000000" w:sz="4" w:space="0"/>
              <w:right w:val="single" w:color="000000" w:sz="4" w:space="0"/>
            </w:tcBorders>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100%</w:t>
            </w:r>
          </w:p>
        </w:tc>
      </w:tr>
    </w:tbl>
    <w:p>
      <w:pPr>
        <w:pStyle w:val="4"/>
        <w:spacing w:before="22" w:line="240" w:lineRule="auto"/>
        <w:ind w:left="649" w:right="0"/>
        <w:jc w:val="left"/>
        <w:rPr>
          <w:rFonts w:ascii="Times New Roman" w:hAnsi="Times New Roman" w:eastAsia="Times New Roman" w:cs="Times New Roman"/>
          <w:spacing w:val="5"/>
        </w:rPr>
      </w:pPr>
    </w:p>
    <w:p>
      <w:pPr>
        <w:pStyle w:val="4"/>
        <w:spacing w:before="22" w:line="360" w:lineRule="auto"/>
        <w:ind w:left="649" w:right="0"/>
        <w:jc w:val="left"/>
        <w:rPr>
          <w:b/>
          <w:bCs/>
          <w:sz w:val="24"/>
          <w:szCs w:val="24"/>
        </w:rPr>
      </w:pPr>
      <w:r>
        <w:rPr>
          <w:rFonts w:ascii="Times New Roman" w:hAnsi="Times New Roman" w:eastAsia="Times New Roman" w:cs="Times New Roman"/>
          <w:b/>
          <w:bCs/>
          <w:spacing w:val="5"/>
          <w:sz w:val="24"/>
          <w:szCs w:val="24"/>
        </w:rPr>
        <w:t>4.</w:t>
      </w:r>
      <w:r>
        <w:rPr>
          <w:rFonts w:hint="eastAsia" w:ascii="Times New Roman" w:hAnsi="Times New Roman" w:cs="Times New Roman"/>
          <w:b/>
          <w:bCs/>
          <w:spacing w:val="5"/>
          <w:sz w:val="24"/>
          <w:szCs w:val="24"/>
          <w:lang w:val="en-US" w:eastAsia="zh-CN"/>
        </w:rPr>
        <w:t>论文研究的问题领域</w:t>
      </w:r>
    </w:p>
    <w:p>
      <w:pPr>
        <w:pStyle w:val="4"/>
        <w:spacing w:line="360" w:lineRule="auto"/>
        <w:ind w:right="0" w:firstLine="416"/>
        <w:jc w:val="left"/>
        <w:rPr>
          <w:sz w:val="24"/>
          <w:szCs w:val="24"/>
        </w:rPr>
      </w:pPr>
      <w:r>
        <w:rPr>
          <w:rFonts w:hint="eastAsia" w:ascii="Times New Roman" w:hAnsi="Times New Roman" w:cs="Times New Roman"/>
          <w:spacing w:val="2"/>
          <w:sz w:val="24"/>
          <w:szCs w:val="24"/>
          <w:lang w:val="en-US" w:eastAsia="zh-CN"/>
        </w:rPr>
        <w:t>专业学位研究生的学位论文要求体现“专业性”，但是对“专业性”的解读可以有多个维度。比如，职教专硕的专业性既可以解读为“专业方向”，也可以解读为“教师职业”，还可解读为“行业技能”。为了更好地厘清职教专硕学位论文的问题领域，判断和分析是否符合专业性的要求，本报告把学位论文的研究问题划分为专业课程教学、公共课程教学、教师研究、学生研究、教学管理、专业建设与人才培养模式、宏观理论与政策等七个领域，统计结果见表4。“专业课程教学”领域</w:t>
      </w:r>
      <w:r>
        <w:rPr>
          <w:spacing w:val="6"/>
          <w:sz w:val="24"/>
          <w:szCs w:val="24"/>
        </w:rPr>
        <w:t>位列第一</w:t>
      </w:r>
      <w:r>
        <w:rPr>
          <w:rFonts w:hint="eastAsia"/>
          <w:spacing w:val="6"/>
          <w:sz w:val="24"/>
          <w:szCs w:val="24"/>
          <w:lang w:eastAsia="zh-CN"/>
        </w:rPr>
        <w:t>，</w:t>
      </w:r>
      <w:r>
        <w:rPr>
          <w:rFonts w:hint="eastAsia"/>
          <w:spacing w:val="6"/>
          <w:sz w:val="24"/>
          <w:szCs w:val="24"/>
          <w:lang w:val="en-US" w:eastAsia="zh-CN"/>
        </w:rPr>
        <w:t>共180篇，占60%，“学生研究”领域位列第二，共40篇，占13.3%，“专业建设与人才培养模式”位列第三，共28篇，占9.3%，“宏观理论与政策”领域位列第四，共27篇，占9%，“教师研究”领域位列第五，共16篇，占5.3%，“教学管理”领域位列第六，共5篇，占1.7%，“公共课程教学”领域位例第七，共4篇，占1.3%。数据表明，培养院校能认识到“教学管理”“公共课程教学”不符合职教专硕的“专业性”要求，较少选择该问题领域，但是，对于“专业建设与人才培养模式”“宏观理论与政策”领域则把握不准，需要进一步分析。</w:t>
      </w:r>
    </w:p>
    <w:p>
      <w:pPr>
        <w:spacing w:before="25"/>
        <w:ind w:left="8" w:leftChars="0" w:right="0" w:hanging="8" w:hangingChars="5"/>
        <w:jc w:val="center"/>
        <w:rPr>
          <w:rFonts w:ascii="宋体" w:hAnsi="宋体" w:eastAsia="宋体" w:cs="宋体"/>
          <w:sz w:val="17"/>
          <w:szCs w:val="17"/>
        </w:rPr>
      </w:pPr>
      <w:r>
        <w:rPr>
          <w:rFonts w:ascii="宋体" w:hAnsi="宋体" w:eastAsia="宋体" w:cs="宋体"/>
          <w:sz w:val="17"/>
          <w:szCs w:val="17"/>
        </w:rPr>
        <w:t xml:space="preserve">表 </w:t>
      </w:r>
      <w:r>
        <w:rPr>
          <w:rFonts w:ascii="Times New Roman" w:hAnsi="Times New Roman" w:eastAsia="Times New Roman" w:cs="Times New Roman"/>
          <w:sz w:val="17"/>
          <w:szCs w:val="17"/>
        </w:rPr>
        <w:t xml:space="preserve">4   </w:t>
      </w:r>
      <w:r>
        <w:rPr>
          <w:rFonts w:ascii="Times New Roman" w:hAnsi="Times New Roman" w:eastAsia="Times New Roman" w:cs="Times New Roman"/>
          <w:spacing w:val="8"/>
          <w:sz w:val="17"/>
          <w:szCs w:val="17"/>
        </w:rPr>
        <w:t xml:space="preserve"> </w:t>
      </w:r>
    </w:p>
    <w:tbl>
      <w:tblPr>
        <w:tblStyle w:val="10"/>
        <w:tblW w:w="5016" w:type="dxa"/>
        <w:jc w:val="center"/>
        <w:tblInd w:w="0" w:type="dxa"/>
        <w:tblLayout w:type="fixed"/>
        <w:tblCellMar>
          <w:top w:w="0" w:type="dxa"/>
          <w:left w:w="0" w:type="dxa"/>
          <w:bottom w:w="0" w:type="dxa"/>
          <w:right w:w="0" w:type="dxa"/>
        </w:tblCellMar>
      </w:tblPr>
      <w:tblGrid>
        <w:gridCol w:w="1973"/>
        <w:gridCol w:w="1310"/>
        <w:gridCol w:w="1733"/>
      </w:tblGrid>
      <w:tr>
        <w:tblPrEx>
          <w:tblLayout w:type="fixed"/>
        </w:tblPrEx>
        <w:trPr>
          <w:trHeight w:val="332" w:hRule="exact"/>
          <w:jc w:val="center"/>
        </w:trPr>
        <w:tc>
          <w:tcPr>
            <w:tcW w:w="5016" w:type="dxa"/>
            <w:gridSpan w:val="3"/>
            <w:tcBorders>
              <w:top w:val="single" w:color="000000" w:sz="4" w:space="0"/>
              <w:left w:val="single" w:color="000000" w:sz="4" w:space="0"/>
              <w:bottom w:val="single" w:color="000000" w:sz="4" w:space="0"/>
              <w:right w:val="single" w:color="000000" w:sz="4" w:space="0"/>
            </w:tcBorders>
            <w:vAlign w:val="top"/>
          </w:tcPr>
          <w:p>
            <w:pPr>
              <w:jc w:val="center"/>
              <w:rPr>
                <w:rFonts w:hint="eastAsia" w:ascii="宋体" w:hAnsi="宋体" w:eastAsia="宋体" w:cs="宋体"/>
                <w:highlight w:val="none"/>
                <w:lang w:val="en-US" w:eastAsia="zh-CN"/>
              </w:rPr>
            </w:pPr>
            <w:r>
              <w:rPr>
                <w:rFonts w:ascii="宋体" w:hAnsi="宋体" w:eastAsia="宋体" w:cs="宋体"/>
                <w:spacing w:val="5"/>
                <w:sz w:val="17"/>
                <w:szCs w:val="17"/>
              </w:rPr>
              <w:t>职教专硕</w:t>
            </w:r>
            <w:r>
              <w:rPr>
                <w:rFonts w:hint="eastAsia" w:ascii="宋体" w:hAnsi="宋体" w:eastAsia="宋体" w:cs="宋体"/>
                <w:spacing w:val="5"/>
                <w:sz w:val="17"/>
                <w:szCs w:val="17"/>
                <w:lang w:val="en-US" w:eastAsia="zh-CN"/>
              </w:rPr>
              <w:t>学位论文的问题领域</w:t>
            </w:r>
          </w:p>
        </w:tc>
      </w:tr>
      <w:tr>
        <w:tblPrEx>
          <w:tblLayout w:type="fixed"/>
        </w:tblPrEx>
        <w:trPr>
          <w:trHeight w:val="332"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default" w:ascii="宋体" w:hAnsi="宋体" w:eastAsia="宋体" w:cs="宋体"/>
                <w:highlight w:val="none"/>
                <w:lang w:val="en-US" w:eastAsia="zh-CN"/>
              </w:rPr>
            </w:pPr>
            <w:r>
              <w:rPr>
                <w:rFonts w:hint="eastAsia" w:ascii="宋体" w:hAnsi="宋体" w:eastAsia="宋体" w:cs="宋体"/>
                <w:highlight w:val="none"/>
                <w:lang w:val="en-US" w:eastAsia="zh-CN"/>
              </w:rPr>
              <w:t>问题领域</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论文数量</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比例（%）</w:t>
            </w:r>
          </w:p>
        </w:tc>
      </w:tr>
      <w:tr>
        <w:tblPrEx>
          <w:tblLayout w:type="fixed"/>
        </w:tblPrEx>
        <w:trPr>
          <w:trHeight w:val="331"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专业课程教学</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180</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60%</w:t>
            </w:r>
          </w:p>
        </w:tc>
      </w:tr>
      <w:tr>
        <w:tblPrEx>
          <w:tblLayout w:type="fixed"/>
        </w:tblPrEx>
        <w:trPr>
          <w:trHeight w:val="368"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公共课程教学</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4</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1.3%</w:t>
            </w:r>
          </w:p>
        </w:tc>
      </w:tr>
      <w:tr>
        <w:tblPrEx>
          <w:tblLayout w:type="fixed"/>
        </w:tblPrEx>
        <w:trPr>
          <w:trHeight w:val="368"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教师研究</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16</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5.3%</w:t>
            </w:r>
          </w:p>
        </w:tc>
      </w:tr>
      <w:tr>
        <w:tblPrEx>
          <w:tblLayout w:type="fixed"/>
        </w:tblPrEx>
        <w:trPr>
          <w:trHeight w:val="348"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default" w:ascii="宋体" w:hAnsi="宋体" w:eastAsia="宋体" w:cs="宋体"/>
                <w:highlight w:val="none"/>
                <w:lang w:val="en-US" w:eastAsia="zh-CN"/>
              </w:rPr>
            </w:pPr>
            <w:r>
              <w:rPr>
                <w:rFonts w:hint="eastAsia" w:ascii="宋体" w:hAnsi="宋体" w:eastAsia="宋体" w:cs="宋体"/>
                <w:highlight w:val="none"/>
                <w:lang w:val="en-US" w:eastAsia="zh-CN"/>
              </w:rPr>
              <w:t>学生研究</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40</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13.3%</w:t>
            </w:r>
          </w:p>
        </w:tc>
      </w:tr>
      <w:tr>
        <w:tblPrEx>
          <w:tblLayout w:type="fixed"/>
        </w:tblPrEx>
        <w:trPr>
          <w:trHeight w:val="367"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教学管理</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5</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1.7%</w:t>
            </w:r>
          </w:p>
        </w:tc>
      </w:tr>
      <w:tr>
        <w:tblPrEx>
          <w:tblLayout w:type="fixed"/>
        </w:tblPrEx>
        <w:trPr>
          <w:trHeight w:val="688"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专业建设与</w:t>
            </w:r>
          </w:p>
          <w:p>
            <w:pPr>
              <w:jc w:val="left"/>
              <w:rPr>
                <w:rFonts w:hint="default" w:ascii="宋体" w:hAnsi="宋体" w:eastAsia="宋体" w:cs="宋体"/>
                <w:highlight w:val="none"/>
                <w:lang w:val="en-US" w:eastAsia="zh-CN"/>
              </w:rPr>
            </w:pPr>
            <w:r>
              <w:rPr>
                <w:rFonts w:hint="eastAsia" w:ascii="宋体" w:hAnsi="宋体" w:eastAsia="宋体" w:cs="宋体"/>
                <w:highlight w:val="none"/>
                <w:lang w:val="en-US" w:eastAsia="zh-CN"/>
              </w:rPr>
              <w:t>人才培养模式</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28</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9.3%</w:t>
            </w:r>
          </w:p>
        </w:tc>
      </w:tr>
      <w:tr>
        <w:tblPrEx>
          <w:tblLayout w:type="fixed"/>
        </w:tblPrEx>
        <w:trPr>
          <w:trHeight w:val="323" w:hRule="exact"/>
          <w:jc w:val="center"/>
        </w:trPr>
        <w:tc>
          <w:tcPr>
            <w:tcW w:w="1973" w:type="dxa"/>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宏观理论与政策</w:t>
            </w:r>
          </w:p>
        </w:tc>
        <w:tc>
          <w:tcPr>
            <w:tcW w:w="1310"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27</w:t>
            </w:r>
          </w:p>
        </w:tc>
        <w:tc>
          <w:tcPr>
            <w:tcW w:w="1733" w:type="dxa"/>
            <w:tcBorders>
              <w:top w:val="single" w:color="000000" w:sz="4" w:space="0"/>
              <w:left w:val="single" w:color="000000" w:sz="4" w:space="0"/>
              <w:bottom w:val="single" w:color="000000" w:sz="4" w:space="0"/>
              <w:right w:val="single" w:color="000000" w:sz="4" w:space="0"/>
            </w:tcBorders>
            <w:vAlign w:val="top"/>
          </w:tcPr>
          <w:p>
            <w:pPr>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9%</w:t>
            </w:r>
          </w:p>
        </w:tc>
      </w:tr>
    </w:tbl>
    <w:p>
      <w:pPr>
        <w:spacing w:before="85"/>
        <w:ind w:right="0" w:firstLine="460" w:firstLineChars="200"/>
        <w:jc w:val="left"/>
        <w:rPr>
          <w:rFonts w:hint="eastAsia" w:ascii="Times New Roman" w:hAnsi="Times New Roman" w:eastAsia="宋体" w:cs="Times New Roman"/>
          <w:spacing w:val="5"/>
          <w:lang w:val="en-US" w:eastAsia="zh-CN"/>
        </w:rPr>
      </w:pPr>
    </w:p>
    <w:p>
      <w:pPr>
        <w:spacing w:before="85" w:line="360" w:lineRule="auto"/>
        <w:ind w:right="0" w:firstLine="500" w:firstLineChars="200"/>
        <w:jc w:val="left"/>
        <w:rPr>
          <w:b/>
          <w:bCs/>
          <w:sz w:val="24"/>
          <w:szCs w:val="24"/>
        </w:rPr>
      </w:pPr>
      <w:r>
        <w:rPr>
          <w:rFonts w:hint="eastAsia" w:ascii="Times New Roman" w:hAnsi="Times New Roman" w:eastAsia="宋体" w:cs="Times New Roman"/>
          <w:b/>
          <w:bCs/>
          <w:spacing w:val="5"/>
          <w:sz w:val="24"/>
          <w:szCs w:val="24"/>
          <w:lang w:val="en-US" w:eastAsia="zh-CN"/>
        </w:rPr>
        <w:t>5</w:t>
      </w:r>
      <w:r>
        <w:rPr>
          <w:rFonts w:ascii="Times New Roman" w:hAnsi="Times New Roman" w:eastAsia="Times New Roman" w:cs="Times New Roman"/>
          <w:b/>
          <w:bCs/>
          <w:spacing w:val="5"/>
          <w:sz w:val="24"/>
          <w:szCs w:val="24"/>
        </w:rPr>
        <w:t>.</w:t>
      </w:r>
      <w:r>
        <w:rPr>
          <w:rFonts w:hint="eastAsia" w:ascii="Times New Roman" w:hAnsi="Times New Roman" w:eastAsia="宋体" w:cs="Times New Roman"/>
          <w:b/>
          <w:bCs/>
          <w:spacing w:val="5"/>
          <w:sz w:val="24"/>
          <w:szCs w:val="24"/>
          <w:lang w:val="en-US" w:eastAsia="zh-CN"/>
        </w:rPr>
        <w:t>推荐论文的基本特点</w:t>
      </w:r>
    </w:p>
    <w:p>
      <w:pPr>
        <w:pStyle w:val="4"/>
        <w:spacing w:line="360" w:lineRule="auto"/>
        <w:ind w:left="234" w:right="189" w:firstLine="416"/>
        <w:jc w:val="both"/>
        <w:rPr>
          <w:rFonts w:hint="eastAsia"/>
          <w:spacing w:val="2"/>
          <w:sz w:val="24"/>
          <w:szCs w:val="24"/>
          <w:lang w:val="en-US" w:eastAsia="zh-CN"/>
        </w:rPr>
      </w:pPr>
      <w:r>
        <w:rPr>
          <w:rFonts w:hint="eastAsia"/>
          <w:spacing w:val="2"/>
          <w:sz w:val="24"/>
          <w:szCs w:val="24"/>
          <w:lang w:val="en-US" w:eastAsia="zh-CN"/>
        </w:rPr>
        <w:t>本次论文抽检评阅，各组分别推荐了10篇左右规范性、专业性和实践性较强的学位论文。整体上看，推荐论文的选题聚焦问题，小题大作；内容上重点突出，工作量饱满，有较强的专业性；结构上分析框架合理、逻辑清晰；格式上比较规范，语言简洁流畅，引文注释清晰、排版美观大方；影响方面有较好的应用价值，有助于培养学生的师范技能、专业技能和科研能力。</w:t>
      </w:r>
    </w:p>
    <w:p>
      <w:pPr>
        <w:pStyle w:val="4"/>
        <w:numPr>
          <w:ilvl w:val="0"/>
          <w:numId w:val="1"/>
        </w:numPr>
        <w:spacing w:line="360" w:lineRule="auto"/>
        <w:ind w:left="234" w:right="189" w:firstLine="416"/>
        <w:jc w:val="both"/>
        <w:rPr>
          <w:rFonts w:hint="eastAsia"/>
          <w:spacing w:val="2"/>
          <w:sz w:val="24"/>
          <w:szCs w:val="24"/>
          <w:lang w:val="en-US" w:eastAsia="zh-CN"/>
        </w:rPr>
      </w:pPr>
      <w:r>
        <w:rPr>
          <w:rFonts w:hint="eastAsia"/>
          <w:spacing w:val="2"/>
          <w:sz w:val="24"/>
          <w:szCs w:val="24"/>
          <w:lang w:val="en-US" w:eastAsia="zh-CN"/>
        </w:rPr>
        <w:t>选题聚焦中职学校的课程与教学改革。推荐论文选题集中在专业相关课程开发、教学设计和专业技能等方面，反映课程和教学改革的热点问题，以新理论、新技术、新方法为视角进行切入，理论与实践相结合，具有较好的针对性和应用价值。比如，《行为局限理论在手绘基础教学中的应用研究》运用行为局限理论分析教学环境对学生心理的影响，发现教学中的问题，进而通过优化教学环境，改进手绘教学；《</w:t>
      </w:r>
      <w:r>
        <w:rPr>
          <w:rFonts w:hint="default" w:ascii="宋体" w:hAnsi="宋体" w:eastAsia="宋体" w:cstheme="minorBidi"/>
          <w:spacing w:val="2"/>
          <w:sz w:val="24"/>
          <w:szCs w:val="24"/>
          <w:lang w:val="en-US" w:eastAsia="zh-CN" w:bidi="ar-SA"/>
        </w:rPr>
        <w:t>基于杜威兴趣理论的VR实训软件交互设计研究——以中职汽修专业为例</w:t>
      </w:r>
      <w:r>
        <w:rPr>
          <w:rFonts w:hint="eastAsia"/>
          <w:spacing w:val="2"/>
          <w:sz w:val="24"/>
          <w:szCs w:val="24"/>
          <w:lang w:val="en-US" w:eastAsia="zh-CN"/>
        </w:rPr>
        <w:t>》将杜威的兴趣理论运用到VR实训软件的交互设计，既有理论视角，又有技术成果，理论与实践结合得很好。</w:t>
      </w:r>
    </w:p>
    <w:p>
      <w:pPr>
        <w:pStyle w:val="4"/>
        <w:numPr>
          <w:ilvl w:val="0"/>
          <w:numId w:val="1"/>
        </w:numPr>
        <w:spacing w:line="360" w:lineRule="auto"/>
        <w:ind w:left="234" w:right="189" w:firstLine="416"/>
        <w:jc w:val="both"/>
        <w:rPr>
          <w:rFonts w:hint="eastAsia"/>
          <w:spacing w:val="2"/>
          <w:sz w:val="24"/>
          <w:szCs w:val="24"/>
          <w:lang w:val="en-US" w:eastAsia="zh-CN"/>
        </w:rPr>
      </w:pPr>
      <w:r>
        <w:rPr>
          <w:rFonts w:hint="eastAsia"/>
          <w:spacing w:val="2"/>
          <w:sz w:val="24"/>
          <w:szCs w:val="24"/>
          <w:lang w:val="en-US" w:eastAsia="zh-CN"/>
        </w:rPr>
        <w:t>内容上重点突出论证充分。推荐论文的研究内容围绕研究主题，事实性材料、数据材料或实践材料丰富，不仅研究工作量饱满，而且能较好表现出论文作者的创新性和开发性的工作。比如，《天津锔艺发展现状及技能传承研究》从锔艺发展的历史与艺术价值、锔艺制作工艺与艺人现状、锔艺技能传承的模式变革三个维度展开研究，通过大量图文并茂的材料进行论证分析，用材料支持观点，用分析提炼推导出新的见解。《</w:t>
      </w:r>
      <w:r>
        <w:rPr>
          <w:rFonts w:hint="eastAsia" w:ascii="宋体" w:hAnsi="宋体" w:eastAsia="宋体" w:cstheme="minorBidi"/>
          <w:spacing w:val="2"/>
          <w:sz w:val="24"/>
          <w:szCs w:val="24"/>
          <w:lang w:val="en-US" w:eastAsia="zh-CN" w:bidi="ar-SA"/>
        </w:rPr>
        <w:t>少数民族传统草木染在中职服装设计专业教学中的开发和利用</w:t>
      </w:r>
      <w:r>
        <w:rPr>
          <w:rFonts w:hint="eastAsia"/>
          <w:spacing w:val="2"/>
          <w:sz w:val="24"/>
          <w:szCs w:val="24"/>
          <w:lang w:val="en-US" w:eastAsia="zh-CN"/>
        </w:rPr>
        <w:t>》从中职服务设计专业教学的现状分析、少数民族传统草木染引入专业教学的可行性分析、方法路径、实践探索展开研究，过程性材料丰富完整，专业性、实践性和操作性很强。</w:t>
      </w:r>
    </w:p>
    <w:p>
      <w:pPr>
        <w:pStyle w:val="4"/>
        <w:numPr>
          <w:ilvl w:val="0"/>
          <w:numId w:val="1"/>
        </w:numPr>
        <w:spacing w:line="360" w:lineRule="auto"/>
        <w:ind w:left="234" w:right="189" w:firstLine="416"/>
        <w:jc w:val="both"/>
        <w:rPr>
          <w:rFonts w:hint="eastAsia"/>
          <w:spacing w:val="2"/>
          <w:sz w:val="24"/>
          <w:szCs w:val="24"/>
          <w:lang w:val="en-US" w:eastAsia="zh-CN"/>
        </w:rPr>
      </w:pPr>
      <w:r>
        <w:rPr>
          <w:rFonts w:hint="eastAsia"/>
          <w:spacing w:val="2"/>
          <w:sz w:val="24"/>
          <w:szCs w:val="24"/>
          <w:lang w:val="en-US" w:eastAsia="zh-CN"/>
        </w:rPr>
        <w:t>结构上完整展现方法、过程与结果。推荐论文的结构因研究方法而异，体现不同研究方法的结构要求。实证研究论文的结构突出方法设计、数据分析、结果应用；调查研究论文的结构突出问卷设计、数据统计、数据分析；课程开发研究论文的结构突出需求分析、职业岗位分析、工作任务分析、课程单元设计、教学任务设计等课程开发环节的完整性；教学设计论文的结构突出教学目标设计、教学任务设计、教学过程设计、教学资源设计、教学评价设计等教学环节的完整性。比如，《</w:t>
      </w:r>
      <w:r>
        <w:rPr>
          <w:rFonts w:hint="eastAsia" w:ascii="宋体" w:hAnsi="宋体" w:eastAsia="宋体" w:cstheme="minorBidi"/>
          <w:spacing w:val="2"/>
          <w:sz w:val="24"/>
          <w:szCs w:val="24"/>
          <w:lang w:val="en-US" w:eastAsia="zh-CN" w:bidi="ar-SA"/>
        </w:rPr>
        <w:t>翻转课堂在中等职业学校</w:t>
      </w:r>
      <w:r>
        <w:rPr>
          <w:rFonts w:hint="eastAsia" w:cstheme="minorBidi"/>
          <w:spacing w:val="2"/>
          <w:sz w:val="24"/>
          <w:szCs w:val="24"/>
          <w:lang w:val="en-US" w:eastAsia="zh-CN" w:bidi="ar-SA"/>
        </w:rPr>
        <w:t>&lt;</w:t>
      </w:r>
      <w:r>
        <w:rPr>
          <w:rFonts w:hint="eastAsia" w:ascii="宋体" w:hAnsi="宋体" w:eastAsia="宋体" w:cstheme="minorBidi"/>
          <w:spacing w:val="2"/>
          <w:sz w:val="24"/>
          <w:szCs w:val="24"/>
          <w:lang w:val="en-US" w:eastAsia="zh-CN" w:bidi="ar-SA"/>
        </w:rPr>
        <w:t>图形图像</w:t>
      </w:r>
      <w:r>
        <w:rPr>
          <w:rFonts w:hint="eastAsia" w:cstheme="minorBidi"/>
          <w:spacing w:val="2"/>
          <w:sz w:val="24"/>
          <w:szCs w:val="24"/>
          <w:lang w:val="en-US" w:eastAsia="zh-CN" w:bidi="ar-SA"/>
        </w:rPr>
        <w:t>&gt;</w:t>
      </w:r>
      <w:r>
        <w:rPr>
          <w:rFonts w:hint="eastAsia" w:ascii="宋体" w:hAnsi="宋体" w:eastAsia="宋体" w:cstheme="minorBidi"/>
          <w:spacing w:val="2"/>
          <w:sz w:val="24"/>
          <w:szCs w:val="24"/>
          <w:lang w:val="en-US" w:eastAsia="zh-CN" w:bidi="ar-SA"/>
        </w:rPr>
        <w:t>课程中的应用研究</w:t>
      </w:r>
      <w:r>
        <w:rPr>
          <w:rFonts w:hint="eastAsia"/>
          <w:spacing w:val="2"/>
          <w:sz w:val="24"/>
          <w:szCs w:val="24"/>
          <w:lang w:val="en-US" w:eastAsia="zh-CN"/>
        </w:rPr>
        <w:t>》中“Photoshop 蒙版的使用”和“Photoshop 文字人像海报制作”的教学实践的结构分为“教学准备”“教学实施”“教学效果”“教学反思”四个部分，“教学准备”又分为目标、任务、过程、资源、评价等五个方面的设计，结构简洁清晰。</w:t>
      </w:r>
    </w:p>
    <w:p>
      <w:pPr>
        <w:pStyle w:val="4"/>
        <w:numPr>
          <w:ilvl w:val="0"/>
          <w:numId w:val="1"/>
        </w:numPr>
        <w:spacing w:line="360" w:lineRule="auto"/>
        <w:ind w:left="234" w:right="189" w:firstLine="416"/>
        <w:jc w:val="both"/>
        <w:rPr>
          <w:rFonts w:hint="eastAsia"/>
          <w:spacing w:val="2"/>
          <w:sz w:val="24"/>
          <w:szCs w:val="24"/>
          <w:lang w:val="en-US" w:eastAsia="zh-CN"/>
        </w:rPr>
      </w:pPr>
      <w:r>
        <w:rPr>
          <w:rFonts w:hint="eastAsia"/>
          <w:spacing w:val="2"/>
          <w:sz w:val="24"/>
          <w:szCs w:val="24"/>
          <w:lang w:val="en-US" w:eastAsia="zh-CN"/>
        </w:rPr>
        <w:t>格式上规范完整。推荐论文格式上都符合学位论文的规范要求，选题的针对性与专业性、概念界定、文献综述、理论基础、分析框架、数据真实性、结论的清晰度、注释与参考文献的规范性方面都比较好。论文主体内容的分析框架完整，逻辑清晰，整个研究内容的主体围绕框架展开，是推荐论文的共性特点。比如，《微课在中职课堂教学中应用研究》的研究主题是教学设计，分析框架由“理论基础-研究设计-需求分析-教学实施-效果评估-研究结论”构成，论文第二章是“理论基础和研究设计”，第三章“微课的接受度分析”通过问卷调查了解学生需求，第四章是“使用方法分析”分别从微课实施过程，教师使用微课分析，学生使用微课分析，全面展开实施过程细节，第五章“应用效果分析”通过问卷调查分析教学效果，第六章“研究结论与反思”，在章节安排上完整体现分析框架。</w:t>
      </w:r>
    </w:p>
    <w:p>
      <w:pPr>
        <w:spacing w:before="8" w:line="240" w:lineRule="auto"/>
        <w:rPr>
          <w:rFonts w:ascii="宋体" w:hAnsi="宋体" w:eastAsia="宋体" w:cs="宋体"/>
          <w:sz w:val="15"/>
          <w:szCs w:val="15"/>
        </w:rPr>
      </w:pPr>
    </w:p>
    <w:p>
      <w:pPr>
        <w:pStyle w:val="4"/>
        <w:spacing w:before="0" w:line="240" w:lineRule="auto"/>
        <w:ind w:left="650" w:right="0"/>
        <w:jc w:val="left"/>
        <w:rPr>
          <w:rFonts w:ascii="黑体" w:hAnsi="黑体" w:eastAsia="黑体" w:cs="黑体"/>
          <w:b/>
          <w:bCs/>
          <w:sz w:val="24"/>
          <w:szCs w:val="24"/>
        </w:rPr>
      </w:pPr>
      <w:r>
        <w:rPr>
          <w:rFonts w:ascii="黑体" w:hAnsi="黑体" w:eastAsia="黑体" w:cs="黑体"/>
          <w:b/>
          <w:bCs/>
          <w:spacing w:val="6"/>
          <w:sz w:val="24"/>
          <w:szCs w:val="24"/>
        </w:rPr>
        <w:t>三、职教专硕</w:t>
      </w:r>
      <w:r>
        <w:rPr>
          <w:rFonts w:hint="eastAsia" w:ascii="黑体" w:hAnsi="黑体" w:eastAsia="黑体" w:cs="黑体"/>
          <w:b/>
          <w:bCs/>
          <w:spacing w:val="6"/>
          <w:sz w:val="24"/>
          <w:szCs w:val="24"/>
          <w:lang w:val="en-US" w:eastAsia="zh-CN"/>
        </w:rPr>
        <w:t>学位论文</w:t>
      </w:r>
      <w:r>
        <w:rPr>
          <w:rFonts w:ascii="黑体" w:hAnsi="黑体" w:eastAsia="黑体" w:cs="黑体"/>
          <w:b/>
          <w:bCs/>
          <w:spacing w:val="6"/>
          <w:sz w:val="24"/>
          <w:szCs w:val="24"/>
        </w:rPr>
        <w:t>工作中存在的问题</w:t>
      </w:r>
    </w:p>
    <w:p>
      <w:pPr>
        <w:spacing w:before="9" w:line="240" w:lineRule="auto"/>
        <w:rPr>
          <w:rFonts w:ascii="黑体" w:hAnsi="黑体" w:eastAsia="黑体" w:cs="黑体"/>
          <w:sz w:val="16"/>
          <w:szCs w:val="16"/>
        </w:rPr>
      </w:pPr>
    </w:p>
    <w:p>
      <w:pPr>
        <w:pStyle w:val="4"/>
        <w:spacing w:before="0" w:line="360" w:lineRule="auto"/>
        <w:ind w:left="0" w:leftChars="0" w:right="0" w:firstLine="500" w:firstLineChars="200"/>
        <w:jc w:val="left"/>
        <w:rPr>
          <w:b/>
          <w:bCs/>
          <w:sz w:val="24"/>
          <w:szCs w:val="24"/>
        </w:rPr>
      </w:pPr>
      <w:r>
        <w:rPr>
          <w:rFonts w:ascii="Times New Roman" w:hAnsi="Times New Roman" w:eastAsia="Times New Roman" w:cs="Times New Roman"/>
          <w:b/>
          <w:bCs/>
          <w:spacing w:val="5"/>
          <w:sz w:val="24"/>
          <w:szCs w:val="24"/>
        </w:rPr>
        <w:t>1.</w:t>
      </w:r>
      <w:r>
        <w:rPr>
          <w:rFonts w:hint="eastAsia" w:ascii="Times New Roman" w:hAnsi="Times New Roman" w:cs="Times New Roman"/>
          <w:b/>
          <w:bCs/>
          <w:spacing w:val="5"/>
          <w:sz w:val="24"/>
          <w:szCs w:val="24"/>
          <w:lang w:val="en-US" w:eastAsia="zh-CN"/>
        </w:rPr>
        <w:t>论文选题</w:t>
      </w:r>
      <w:r>
        <w:rPr>
          <w:b/>
          <w:bCs/>
          <w:spacing w:val="5"/>
          <w:sz w:val="24"/>
          <w:szCs w:val="24"/>
        </w:rPr>
        <w:t>方面</w:t>
      </w:r>
    </w:p>
    <w:p>
      <w:pPr>
        <w:pStyle w:val="4"/>
        <w:numPr>
          <w:ilvl w:val="0"/>
          <w:numId w:val="0"/>
        </w:numPr>
        <w:spacing w:line="360" w:lineRule="auto"/>
        <w:ind w:right="1" w:rightChars="0" w:firstLine="508" w:firstLineChars="200"/>
        <w:jc w:val="both"/>
        <w:rPr>
          <w:sz w:val="24"/>
          <w:szCs w:val="24"/>
        </w:rPr>
      </w:pPr>
      <w:r>
        <w:rPr>
          <w:rFonts w:hint="eastAsia"/>
          <w:spacing w:val="7"/>
          <w:sz w:val="24"/>
          <w:szCs w:val="24"/>
          <w:lang w:val="en-US" w:eastAsia="zh-CN"/>
        </w:rPr>
        <w:t>专家组在培养工作调研和多次工作会议上，反复强调职教专硕的培养目标是中职学校的专业教师，学位论文的选题应来源于中职学校的教育教学实践。但是，由于培养单位对于职教专硕学位论文选题范围认识不到位，指导教师对论文选题把关不严，学位论文选题存在偏离培养目标和专业方向的情况。一是部分论文选题以“高职院校”为研究对象。抽检论文中，57篇论文的研究对象为“高职”而非“中职”，占比接近五分之一。有的培养单位19篇论文中16篇研究“高职院校”；有的培养单位29篇论文中19篇研究“高职院校”，说明培养单位对职教专硕学位论文选题范围认识存在明显偏差。二是部分论文选题以“非职业院校”为研究对象。抽检中发现，部分论文以普通高中、普通本科高校、硕士研究生为研究对象，虽然数量不多，但明显偏离培养目标。例如，《拓展训练对高一男生焦虑的影响》《拓展训练对高中生社会适应能力影响的研究》研究对象为普通高中学生，与职业学校缺乏关联；《非正常上访人员</w:t>
      </w:r>
      <w:r>
        <w:rPr>
          <w:rFonts w:hint="eastAsia" w:ascii="宋体" w:hAnsi="宋体" w:eastAsia="宋体" w:cs="宋体"/>
          <w:sz w:val="24"/>
          <w:szCs w:val="24"/>
          <w:lang w:val="en-US" w:eastAsia="zh-CN"/>
        </w:rPr>
        <w:t>教育对策研究</w:t>
      </w:r>
      <w:r>
        <w:rPr>
          <w:rFonts w:hint="eastAsia" w:cs="宋体"/>
          <w:sz w:val="24"/>
          <w:szCs w:val="24"/>
          <w:lang w:val="en-US" w:eastAsia="zh-CN"/>
        </w:rPr>
        <w:t>》《</w:t>
      </w:r>
      <w:r>
        <w:rPr>
          <w:rFonts w:hint="eastAsia" w:ascii="宋体" w:hAnsi="宋体" w:eastAsia="宋体" w:cs="宋体"/>
          <w:sz w:val="24"/>
          <w:szCs w:val="24"/>
          <w:lang w:val="en-US" w:eastAsia="zh-CN"/>
        </w:rPr>
        <w:t>公安边防部队法制员法制培训研究</w:t>
      </w:r>
      <w:r>
        <w:rPr>
          <w:rFonts w:hint="eastAsia" w:cs="宋体"/>
          <w:sz w:val="24"/>
          <w:szCs w:val="24"/>
          <w:lang w:val="en-US" w:eastAsia="zh-CN"/>
        </w:rPr>
        <w:t>》《</w:t>
      </w:r>
      <w:r>
        <w:rPr>
          <w:rFonts w:hint="eastAsia" w:ascii="宋体" w:hAnsi="宋体" w:eastAsia="宋体" w:cs="宋体"/>
          <w:sz w:val="24"/>
          <w:szCs w:val="24"/>
          <w:lang w:val="en-US" w:eastAsia="zh-CN"/>
        </w:rPr>
        <w:t>农民专业合作社成员变更法律问题实践调查</w:t>
      </w:r>
      <w:r>
        <w:rPr>
          <w:rFonts w:hint="eastAsia" w:cs="宋体"/>
          <w:sz w:val="24"/>
          <w:szCs w:val="24"/>
          <w:lang w:val="en-US" w:eastAsia="zh-CN"/>
        </w:rPr>
        <w:t>》《</w:t>
      </w:r>
      <w:r>
        <w:rPr>
          <w:rFonts w:hint="eastAsia" w:ascii="宋体" w:hAnsi="宋体" w:eastAsia="宋体" w:cs="宋体"/>
          <w:sz w:val="24"/>
          <w:szCs w:val="24"/>
          <w:lang w:val="en-US" w:eastAsia="zh-CN"/>
        </w:rPr>
        <w:t>邪教治理社会化教育研究</w:t>
      </w:r>
      <w:r>
        <w:rPr>
          <w:rFonts w:hint="eastAsia" w:cs="宋体"/>
          <w:sz w:val="24"/>
          <w:szCs w:val="24"/>
          <w:lang w:val="en-US" w:eastAsia="zh-CN"/>
        </w:rPr>
        <w:t>》研究对象为社会性培养，虽然选题符合司法服务的专业方向，但与专业教师缺乏关联；《</w:t>
      </w:r>
      <w:r>
        <w:rPr>
          <w:rFonts w:hint="eastAsia"/>
          <w:spacing w:val="7"/>
          <w:sz w:val="24"/>
          <w:szCs w:val="24"/>
          <w:lang w:val="en-US" w:eastAsia="zh-CN"/>
        </w:rPr>
        <w:t>全日制职业技术教育专业硕士认同感研究》《职业技术教育专业硕士学习效能感影响因素研究》研究对象为在校研究生，属于学位与研究生教育，偏离培养目标。</w:t>
      </w:r>
    </w:p>
    <w:p>
      <w:pPr>
        <w:pStyle w:val="4"/>
        <w:spacing w:before="13" w:line="360" w:lineRule="auto"/>
        <w:ind w:left="0" w:leftChars="0" w:right="0" w:firstLine="500" w:firstLineChars="200"/>
        <w:jc w:val="left"/>
        <w:rPr>
          <w:b/>
          <w:bCs/>
          <w:sz w:val="24"/>
          <w:szCs w:val="24"/>
        </w:rPr>
      </w:pPr>
      <w:r>
        <w:rPr>
          <w:rFonts w:ascii="Times New Roman" w:hAnsi="Times New Roman" w:eastAsia="Times New Roman" w:cs="Times New Roman"/>
          <w:b/>
          <w:bCs/>
          <w:spacing w:val="5"/>
          <w:sz w:val="24"/>
          <w:szCs w:val="24"/>
        </w:rPr>
        <w:t>2.</w:t>
      </w:r>
      <w:r>
        <w:rPr>
          <w:rFonts w:hint="eastAsia" w:ascii="Times New Roman" w:hAnsi="Times New Roman" w:cs="Times New Roman"/>
          <w:b/>
          <w:bCs/>
          <w:spacing w:val="5"/>
          <w:sz w:val="24"/>
          <w:szCs w:val="24"/>
          <w:lang w:val="en-US" w:eastAsia="zh-CN"/>
        </w:rPr>
        <w:t>论文内容</w:t>
      </w:r>
      <w:r>
        <w:rPr>
          <w:b/>
          <w:bCs/>
          <w:spacing w:val="5"/>
          <w:sz w:val="24"/>
          <w:szCs w:val="24"/>
        </w:rPr>
        <w:t>方面</w:t>
      </w:r>
    </w:p>
    <w:p>
      <w:pPr>
        <w:pStyle w:val="4"/>
        <w:spacing w:before="49" w:line="360" w:lineRule="auto"/>
        <w:ind w:left="0" w:leftChars="0" w:right="0" w:firstLine="508" w:firstLineChars="200"/>
        <w:jc w:val="both"/>
        <w:rPr>
          <w:rFonts w:hint="eastAsia"/>
          <w:spacing w:val="7"/>
          <w:sz w:val="24"/>
          <w:szCs w:val="24"/>
          <w:lang w:val="en-US" w:eastAsia="zh-CN"/>
        </w:rPr>
      </w:pPr>
      <w:r>
        <w:rPr>
          <w:rFonts w:hint="eastAsia"/>
          <w:spacing w:val="7"/>
          <w:sz w:val="24"/>
          <w:szCs w:val="24"/>
          <w:lang w:val="en-US" w:eastAsia="zh-CN"/>
        </w:rPr>
        <w:t>教育硕士学位论文，是一项职业性、实践性和专业性的研究，研究问题应该在类型上、性质上有个比较合适的定位。</w:t>
      </w:r>
      <w:r>
        <w:rPr>
          <w:rStyle w:val="9"/>
          <w:rFonts w:hint="eastAsia"/>
          <w:spacing w:val="7"/>
          <w:sz w:val="24"/>
          <w:szCs w:val="24"/>
          <w:lang w:val="en-US" w:eastAsia="zh-CN"/>
        </w:rPr>
        <w:footnoteReference w:id="0"/>
      </w:r>
      <w:r>
        <w:rPr>
          <w:rFonts w:hint="eastAsia"/>
          <w:spacing w:val="7"/>
          <w:sz w:val="24"/>
          <w:szCs w:val="24"/>
          <w:lang w:val="en-US" w:eastAsia="zh-CN"/>
        </w:rPr>
        <w:t>从类型上分，研究可分为宏观理论性问题研究和微观具体问题研究，教育硕士论文应以微观具体问题研究为宜；从性质上分，研究可分为基础研究和应用研究，教育硕士论文应该以应用研究为宜；从目标上分，研究可分为知识增长和问题解决，教育硕士论文应该以问题解决为宜。统计情况显示，180篇左右，约占60%的论文与专业培养方向联系紧密，研究问题属于“微观层次”“专业课程教学”，具有微观研究、应用研究、问题解决研究的特点。其余约120篇论文的研究问题则偏向中观、宏观和理论，存在以下几种情况：</w:t>
      </w:r>
    </w:p>
    <w:p>
      <w:pPr>
        <w:pStyle w:val="4"/>
        <w:numPr>
          <w:ilvl w:val="0"/>
          <w:numId w:val="2"/>
        </w:numPr>
        <w:spacing w:before="49" w:line="360" w:lineRule="auto"/>
        <w:ind w:left="0" w:leftChars="0" w:right="0" w:firstLine="508" w:firstLineChars="200"/>
        <w:jc w:val="both"/>
        <w:rPr>
          <w:rFonts w:hint="eastAsia"/>
          <w:spacing w:val="7"/>
          <w:sz w:val="24"/>
          <w:szCs w:val="24"/>
          <w:lang w:val="en-US" w:eastAsia="zh-CN"/>
        </w:rPr>
      </w:pPr>
      <w:r>
        <w:rPr>
          <w:rFonts w:hint="eastAsia"/>
          <w:spacing w:val="7"/>
          <w:sz w:val="24"/>
          <w:szCs w:val="24"/>
          <w:lang w:val="en-US" w:eastAsia="zh-CN"/>
        </w:rPr>
        <w:t>研究问题“离心”，与专业方向结合不紧密。例如，《</w:t>
      </w:r>
      <w:r>
        <w:rPr>
          <w:rFonts w:hint="default"/>
          <w:spacing w:val="7"/>
          <w:sz w:val="24"/>
          <w:szCs w:val="24"/>
          <w:lang w:val="en-US" w:eastAsia="zh-CN"/>
        </w:rPr>
        <w:t>心理资本视角下中职学校</w:t>
      </w:r>
      <w:r>
        <w:rPr>
          <w:rFonts w:hint="eastAsia"/>
          <w:spacing w:val="7"/>
          <w:sz w:val="24"/>
          <w:szCs w:val="24"/>
          <w:lang w:val="en-US" w:eastAsia="zh-CN"/>
        </w:rPr>
        <w:t>&lt;</w:t>
      </w:r>
      <w:r>
        <w:rPr>
          <w:rFonts w:hint="default"/>
          <w:spacing w:val="7"/>
          <w:sz w:val="24"/>
          <w:szCs w:val="24"/>
          <w:lang w:val="en-US" w:eastAsia="zh-CN"/>
        </w:rPr>
        <w:t>心理健康教育</w:t>
      </w:r>
      <w:r>
        <w:rPr>
          <w:rFonts w:hint="eastAsia"/>
          <w:spacing w:val="7"/>
          <w:sz w:val="24"/>
          <w:szCs w:val="24"/>
          <w:lang w:val="en-US" w:eastAsia="zh-CN"/>
        </w:rPr>
        <w:t>&gt;</w:t>
      </w:r>
      <w:r>
        <w:rPr>
          <w:rFonts w:hint="default"/>
          <w:spacing w:val="7"/>
          <w:sz w:val="24"/>
          <w:szCs w:val="24"/>
          <w:lang w:val="en-US" w:eastAsia="zh-CN"/>
        </w:rPr>
        <w:t>课程开发研究</w:t>
      </w:r>
      <w:r>
        <w:rPr>
          <w:rFonts w:hint="eastAsia"/>
          <w:spacing w:val="7"/>
          <w:sz w:val="24"/>
          <w:szCs w:val="24"/>
          <w:lang w:val="en-US" w:eastAsia="zh-CN"/>
        </w:rPr>
        <w:t>》《XX省中等职业学校思想政治教育教学研究》《中等职业学校人文课程实施的制度障碍及改进研究》，研究问题为公共基础课的课程开发与教学改革，偏离专业方向。</w:t>
      </w:r>
    </w:p>
    <w:p>
      <w:pPr>
        <w:pStyle w:val="4"/>
        <w:numPr>
          <w:ilvl w:val="0"/>
          <w:numId w:val="2"/>
        </w:numPr>
        <w:spacing w:before="49" w:line="360" w:lineRule="auto"/>
        <w:ind w:left="0" w:leftChars="0" w:right="0" w:firstLine="508" w:firstLineChars="200"/>
        <w:jc w:val="both"/>
        <w:rPr>
          <w:rFonts w:hint="eastAsia"/>
          <w:spacing w:val="7"/>
          <w:sz w:val="24"/>
          <w:szCs w:val="24"/>
          <w:lang w:val="en-US" w:eastAsia="zh-CN"/>
        </w:rPr>
      </w:pPr>
      <w:r>
        <w:rPr>
          <w:rFonts w:hint="eastAsia"/>
          <w:spacing w:val="7"/>
          <w:sz w:val="24"/>
          <w:szCs w:val="24"/>
          <w:lang w:val="en-US" w:eastAsia="zh-CN"/>
        </w:rPr>
        <w:t>研究问题“跨界”，与教育硕士其他领域交叉重叠。例如，《中职学校课堂教学管理研究》《XX</w:t>
      </w:r>
      <w:r>
        <w:rPr>
          <w:rFonts w:hint="default"/>
          <w:spacing w:val="7"/>
          <w:sz w:val="24"/>
          <w:szCs w:val="24"/>
          <w:lang w:val="en-US" w:eastAsia="zh-CN"/>
        </w:rPr>
        <w:t>附属技校教师教学管理调查研究</w:t>
      </w:r>
      <w:r>
        <w:rPr>
          <w:rFonts w:hint="eastAsia"/>
          <w:spacing w:val="7"/>
          <w:sz w:val="24"/>
          <w:szCs w:val="24"/>
          <w:lang w:val="en-US" w:eastAsia="zh-CN"/>
        </w:rPr>
        <w:t>》《中职学校教学诊断的现状与策略的研究》，研究问题属于教学管理问题，与教育硕士教育管理领域存在交叉。</w:t>
      </w:r>
    </w:p>
    <w:p>
      <w:pPr>
        <w:pStyle w:val="4"/>
        <w:numPr>
          <w:ilvl w:val="0"/>
          <w:numId w:val="2"/>
        </w:numPr>
        <w:spacing w:before="49" w:line="360" w:lineRule="auto"/>
        <w:ind w:left="0" w:leftChars="0" w:right="0" w:firstLine="508" w:firstLineChars="200"/>
        <w:jc w:val="both"/>
        <w:rPr>
          <w:rFonts w:hint="eastAsia"/>
          <w:spacing w:val="7"/>
          <w:sz w:val="24"/>
          <w:szCs w:val="24"/>
          <w:lang w:val="en-US" w:eastAsia="zh-CN"/>
        </w:rPr>
      </w:pPr>
      <w:r>
        <w:rPr>
          <w:rFonts w:hint="eastAsia"/>
          <w:spacing w:val="7"/>
          <w:sz w:val="24"/>
          <w:szCs w:val="24"/>
          <w:lang w:val="en-US" w:eastAsia="zh-CN"/>
        </w:rPr>
        <w:t>研究问题“偏大”，与学术型硕士学位论文趋同。例如，《台湾地区职业技术教育调研报告》《县级职业教育发展变迁研究》《京津冀一体化视阈下中等职业教育与区域经济协同实证研究》《</w:t>
      </w:r>
      <w:r>
        <w:rPr>
          <w:rFonts w:hint="default"/>
          <w:spacing w:val="7"/>
          <w:sz w:val="24"/>
          <w:szCs w:val="24"/>
          <w:lang w:val="en-US" w:eastAsia="zh-CN"/>
        </w:rPr>
        <w:t>京津冀职业教育规模对经济增长的实证研究</w:t>
      </w:r>
      <w:r>
        <w:rPr>
          <w:rFonts w:hint="eastAsia"/>
          <w:spacing w:val="7"/>
          <w:sz w:val="24"/>
          <w:szCs w:val="24"/>
          <w:lang w:val="en-US" w:eastAsia="zh-CN"/>
        </w:rPr>
        <w:t>》，研究问题属于区域性、理论性、学术性的宏观理论与政策问题，偏离教育硕士学位论文的专业性和实践性。</w:t>
      </w:r>
    </w:p>
    <w:p>
      <w:pPr>
        <w:pStyle w:val="4"/>
        <w:spacing w:before="15" w:line="360" w:lineRule="auto"/>
        <w:ind w:left="650" w:right="0"/>
        <w:jc w:val="left"/>
        <w:rPr>
          <w:b/>
          <w:bCs/>
          <w:sz w:val="24"/>
          <w:szCs w:val="24"/>
        </w:rPr>
      </w:pPr>
      <w:r>
        <w:rPr>
          <w:rFonts w:ascii="Times New Roman" w:hAnsi="Times New Roman" w:eastAsia="Times New Roman" w:cs="Times New Roman"/>
          <w:b/>
          <w:bCs/>
          <w:spacing w:val="5"/>
          <w:sz w:val="24"/>
          <w:szCs w:val="24"/>
        </w:rPr>
        <w:t>3.</w:t>
      </w:r>
      <w:r>
        <w:rPr>
          <w:rFonts w:hint="eastAsia" w:ascii="Times New Roman" w:hAnsi="Times New Roman" w:cs="Times New Roman"/>
          <w:b/>
          <w:bCs/>
          <w:spacing w:val="5"/>
          <w:sz w:val="24"/>
          <w:szCs w:val="24"/>
          <w:lang w:val="en-US" w:eastAsia="zh-CN"/>
        </w:rPr>
        <w:t>论文结构方面</w:t>
      </w:r>
    </w:p>
    <w:p>
      <w:pPr>
        <w:pStyle w:val="4"/>
        <w:spacing w:before="49" w:line="360" w:lineRule="auto"/>
        <w:ind w:left="234" w:right="1" w:firstLine="416"/>
        <w:jc w:val="both"/>
        <w:rPr>
          <w:rFonts w:hint="eastAsia"/>
          <w:spacing w:val="7"/>
          <w:sz w:val="24"/>
          <w:szCs w:val="24"/>
          <w:lang w:val="en-US" w:eastAsia="zh-CN"/>
        </w:rPr>
      </w:pPr>
      <w:r>
        <w:rPr>
          <w:rFonts w:hint="eastAsia"/>
          <w:spacing w:val="7"/>
          <w:sz w:val="24"/>
          <w:szCs w:val="24"/>
          <w:lang w:val="en-US" w:eastAsia="zh-CN"/>
        </w:rPr>
        <w:t>学位论文结构可以分为要素结构和逻辑结构。要素结构指学位论文一般包括标题、摘要、关键词、目录、绪论、文献综述、主体内容、研究结论、参考文献、附录（必要时）等，这些要素构成一个有机的整体，缺少任一部分的学位论文都是不完整的。逻辑结构指论文主体内容的构成要素和逻辑关系，是论文的核心部分。逻辑结构要求论文主体内容符合形式逻辑的同一律、矛盾律和排中律，也就是说主体内容的主线要能准确表达研究主题，并且一以贯之地将各种材料串联起来，做到“主线一根筋”，大小标题或小标题与小标题之间或并列或递进，而不能相互交叉、彼此包含，做到“标题一条龙”</w:t>
      </w:r>
      <w:r>
        <w:rPr>
          <w:rStyle w:val="9"/>
          <w:rFonts w:hint="eastAsia"/>
          <w:spacing w:val="7"/>
          <w:sz w:val="24"/>
          <w:szCs w:val="24"/>
          <w:lang w:val="en-US" w:eastAsia="zh-CN"/>
        </w:rPr>
        <w:footnoteReference w:id="1"/>
      </w:r>
      <w:r>
        <w:rPr>
          <w:rFonts w:hint="eastAsia"/>
          <w:spacing w:val="7"/>
          <w:sz w:val="24"/>
          <w:szCs w:val="24"/>
          <w:lang w:val="en-US" w:eastAsia="zh-CN"/>
        </w:rPr>
        <w:t>。从要素结构来看，抽检论文的结构要素都比较完整，符合学位论文要求，问题主要出现在论文主体内容的逻辑结构。常见问题包括：</w:t>
      </w:r>
    </w:p>
    <w:p>
      <w:pPr>
        <w:pStyle w:val="4"/>
        <w:spacing w:before="49" w:line="360" w:lineRule="auto"/>
        <w:ind w:left="234" w:right="1" w:firstLine="416"/>
        <w:jc w:val="both"/>
        <w:rPr>
          <w:rFonts w:hint="default"/>
          <w:spacing w:val="7"/>
          <w:sz w:val="24"/>
          <w:szCs w:val="24"/>
          <w:lang w:val="en-US" w:eastAsia="zh-CN"/>
        </w:rPr>
      </w:pPr>
      <w:r>
        <w:rPr>
          <w:rFonts w:hint="eastAsia"/>
          <w:spacing w:val="7"/>
          <w:sz w:val="24"/>
          <w:szCs w:val="24"/>
          <w:lang w:val="en-US" w:eastAsia="zh-CN"/>
        </w:rPr>
        <w:t>（1）大小标题之间出现逻辑问题。有的大标题的内容与小标题出现矛盾，有的大标题内容不能包含小标题的内容。比如，《</w:t>
      </w:r>
      <w:r>
        <w:rPr>
          <w:rFonts w:hint="default"/>
          <w:spacing w:val="7"/>
          <w:sz w:val="24"/>
          <w:szCs w:val="24"/>
          <w:lang w:val="en-US" w:eastAsia="zh-CN"/>
        </w:rPr>
        <w:t>中职学校课程内容与职业标准对接研究---以迁安市职教中心会计电算化专业为例</w:t>
      </w:r>
      <w:r>
        <w:rPr>
          <w:rFonts w:hint="eastAsia"/>
          <w:spacing w:val="7"/>
          <w:sz w:val="24"/>
          <w:szCs w:val="24"/>
          <w:lang w:val="en-US" w:eastAsia="zh-CN"/>
        </w:rPr>
        <w:t>》第二章第二节的标题为“会计电算化专业课程的知识点”，下一级第一单元的标题却为“公共课程内容”，小标题与大标题内容存在矛盾；第二章第一节的标题为“案例学校会计电算化专业基本情况”，第一单元的标题却为“案例学校基本情况”，存在明显的逻辑错误。</w:t>
      </w:r>
    </w:p>
    <w:p>
      <w:pPr>
        <w:pStyle w:val="4"/>
        <w:spacing w:before="63" w:line="360" w:lineRule="auto"/>
        <w:ind w:left="234" w:right="127" w:firstLine="416"/>
        <w:jc w:val="both"/>
        <w:rPr>
          <w:sz w:val="24"/>
          <w:szCs w:val="24"/>
        </w:rPr>
      </w:pPr>
      <w:r>
        <w:rPr>
          <w:spacing w:val="12"/>
          <w:sz w:val="24"/>
          <w:szCs w:val="24"/>
        </w:rPr>
        <w:t>（</w:t>
      </w:r>
      <w:r>
        <w:rPr>
          <w:rFonts w:ascii="Times New Roman" w:hAnsi="Times New Roman" w:eastAsia="Times New Roman" w:cs="Times New Roman"/>
          <w:spacing w:val="12"/>
          <w:sz w:val="24"/>
          <w:szCs w:val="24"/>
        </w:rPr>
        <w:t>2</w:t>
      </w:r>
      <w:r>
        <w:rPr>
          <w:spacing w:val="12"/>
          <w:sz w:val="24"/>
          <w:szCs w:val="24"/>
        </w:rPr>
        <w:t>）</w:t>
      </w:r>
      <w:r>
        <w:rPr>
          <w:rFonts w:hint="eastAsia"/>
          <w:spacing w:val="12"/>
          <w:sz w:val="24"/>
          <w:szCs w:val="24"/>
          <w:lang w:val="en-US" w:eastAsia="zh-CN"/>
        </w:rPr>
        <w:t>论文标题与实际内容不符。比如，《台湾地区职业技术教育调研报告》主题是“调研报告”，第二章“台湾职业教育体系及现状调研”是论文主体和核心部分，本应该具备调研报告的基本结构，包括调研背景、调研对象、调研方案、调研过程、数据分析等，但论文实际呈现的内容只是简单介绍台湾职业教育的行政组织、学校制度、入学方式和学生规模等信息，完全没有调研内容，文不对题。</w:t>
      </w:r>
    </w:p>
    <w:p>
      <w:pPr>
        <w:pStyle w:val="4"/>
        <w:spacing w:before="19" w:line="360" w:lineRule="auto"/>
        <w:ind w:left="234" w:right="128" w:firstLine="416"/>
        <w:jc w:val="both"/>
        <w:rPr>
          <w:sz w:val="24"/>
          <w:szCs w:val="24"/>
        </w:rPr>
      </w:pPr>
      <w:r>
        <w:rPr>
          <w:spacing w:val="2"/>
          <w:sz w:val="24"/>
          <w:szCs w:val="24"/>
        </w:rPr>
        <w:t>（</w:t>
      </w:r>
      <w:r>
        <w:rPr>
          <w:rFonts w:ascii="Times New Roman" w:hAnsi="Times New Roman" w:eastAsia="Times New Roman" w:cs="Times New Roman"/>
          <w:spacing w:val="2"/>
          <w:sz w:val="24"/>
          <w:szCs w:val="24"/>
        </w:rPr>
        <w:t>3</w:t>
      </w:r>
      <w:r>
        <w:rPr>
          <w:spacing w:val="2"/>
          <w:sz w:val="24"/>
          <w:szCs w:val="24"/>
        </w:rPr>
        <w:t>）</w:t>
      </w:r>
      <w:r>
        <w:rPr>
          <w:rFonts w:hint="eastAsia"/>
          <w:spacing w:val="2"/>
          <w:sz w:val="24"/>
          <w:szCs w:val="24"/>
          <w:lang w:val="en-US" w:eastAsia="zh-CN"/>
        </w:rPr>
        <w:t>论文结构出现关键性内容缺失。比如，《</w:t>
      </w:r>
      <w:r>
        <w:rPr>
          <w:rFonts w:hint="eastAsia" w:ascii="宋体" w:hAnsi="宋体" w:eastAsia="宋体"/>
          <w:sz w:val="24"/>
          <w:szCs w:val="24"/>
        </w:rPr>
        <w:t>拓展训练对高中生社会适应能力影响的研究</w:t>
      </w:r>
      <w:r>
        <w:rPr>
          <w:rFonts w:hint="eastAsia"/>
          <w:spacing w:val="2"/>
          <w:sz w:val="24"/>
          <w:szCs w:val="24"/>
          <w:lang w:val="en-US" w:eastAsia="zh-CN"/>
        </w:rPr>
        <w:t>》采用实证研究方法，论文的主体结构是“研究对象与方法”“研究结果与分析”“结论与建议”，实证研究中有关“社会适应能力”评测量表缺失，无法评价判断评测量表的科学性、专业性，评测数据如何获取也没有交等，最后附录中的问卷也无法反映出“社会适应能力”的评测维度。</w:t>
      </w:r>
    </w:p>
    <w:p>
      <w:pPr>
        <w:pStyle w:val="4"/>
        <w:spacing w:before="18" w:line="360" w:lineRule="auto"/>
        <w:ind w:left="650" w:right="0"/>
        <w:jc w:val="left"/>
        <w:rPr>
          <w:b/>
          <w:bCs/>
          <w:sz w:val="24"/>
          <w:szCs w:val="24"/>
        </w:rPr>
      </w:pPr>
      <w:r>
        <w:rPr>
          <w:rFonts w:ascii="Times New Roman" w:hAnsi="Times New Roman" w:eastAsia="Times New Roman" w:cs="Times New Roman"/>
          <w:b/>
          <w:bCs/>
          <w:spacing w:val="5"/>
          <w:sz w:val="24"/>
          <w:szCs w:val="24"/>
        </w:rPr>
        <w:t>4.</w:t>
      </w:r>
      <w:r>
        <w:rPr>
          <w:rFonts w:hint="eastAsia" w:ascii="Times New Roman" w:hAnsi="Times New Roman" w:cs="Times New Roman"/>
          <w:b/>
          <w:bCs/>
          <w:spacing w:val="5"/>
          <w:sz w:val="24"/>
          <w:szCs w:val="24"/>
          <w:lang w:val="en-US" w:eastAsia="zh-CN"/>
        </w:rPr>
        <w:t>研究方法运用</w:t>
      </w:r>
      <w:r>
        <w:rPr>
          <w:b/>
          <w:bCs/>
          <w:spacing w:val="5"/>
          <w:sz w:val="24"/>
          <w:szCs w:val="24"/>
        </w:rPr>
        <w:t>方面</w:t>
      </w:r>
    </w:p>
    <w:p>
      <w:pPr>
        <w:pStyle w:val="4"/>
        <w:spacing w:line="360" w:lineRule="auto"/>
        <w:ind w:right="125" w:firstLine="416"/>
        <w:jc w:val="both"/>
        <w:rPr>
          <w:rFonts w:hint="default"/>
          <w:spacing w:val="7"/>
          <w:sz w:val="24"/>
          <w:szCs w:val="24"/>
          <w:lang w:val="en-US" w:eastAsia="zh-CN"/>
        </w:rPr>
      </w:pPr>
      <w:r>
        <w:rPr>
          <w:rFonts w:hint="eastAsia"/>
          <w:spacing w:val="7"/>
          <w:sz w:val="24"/>
          <w:szCs w:val="24"/>
          <w:lang w:val="en-US" w:eastAsia="zh-CN"/>
        </w:rPr>
        <w:t>研究方法的运用是否规范、是否专业是衡量学位论文质量的一个重要指标，也是研究生学术能力和学术水平的重要体现。从抽检论文来看，理论分析、个案研究、实证研究是职教专学位论文常用的研究方法。由于研究生的学术能力、理论素养、知识基础、研究问题各不相同，研究方法运用水平也参次不齐。主要问题包括：</w:t>
      </w:r>
    </w:p>
    <w:p>
      <w:pPr>
        <w:pStyle w:val="4"/>
        <w:numPr>
          <w:ilvl w:val="0"/>
          <w:numId w:val="3"/>
        </w:numPr>
        <w:spacing w:line="360" w:lineRule="auto"/>
        <w:ind w:right="125" w:firstLine="416"/>
        <w:jc w:val="both"/>
        <w:rPr>
          <w:rFonts w:hint="eastAsia"/>
          <w:spacing w:val="7"/>
          <w:sz w:val="24"/>
          <w:szCs w:val="24"/>
          <w:lang w:val="en-US" w:eastAsia="zh-CN"/>
        </w:rPr>
      </w:pPr>
      <w:r>
        <w:rPr>
          <w:rFonts w:hint="eastAsia"/>
          <w:spacing w:val="7"/>
          <w:sz w:val="24"/>
          <w:szCs w:val="24"/>
          <w:lang w:val="en-US" w:eastAsia="zh-CN"/>
        </w:rPr>
        <w:t>论证意识不足。抽检论文中，专题研究是占比较多的论文形式，专题研究需要就某个问题阐发观点，但观点能否成立，则需要给予充分、合理的论证。从存在问题的论文来看，只进行事实描述不进行事理分析的“证而不论”，只进行理论陈述不提供事实证据支持的“论而不证”的现象还较为常见。比如，《</w:t>
      </w:r>
      <w:r>
        <w:rPr>
          <w:rFonts w:hint="default" w:ascii="宋体" w:hAnsi="宋体" w:eastAsia="宋体" w:cstheme="minorBidi"/>
          <w:spacing w:val="7"/>
          <w:sz w:val="24"/>
          <w:szCs w:val="24"/>
          <w:lang w:val="en-US" w:eastAsia="zh-CN" w:bidi="ar-SA"/>
        </w:rPr>
        <w:t>京津冀职业教育规模对经济增长的实证研究</w:t>
      </w:r>
      <w:r>
        <w:rPr>
          <w:rFonts w:hint="eastAsia"/>
          <w:spacing w:val="7"/>
          <w:sz w:val="24"/>
          <w:szCs w:val="24"/>
          <w:lang w:val="en-US" w:eastAsia="zh-CN"/>
        </w:rPr>
        <w:t>》收集了2006-2015年京津冀地区的国民生产总值数据和职业教育学生规模数据，通过数据比较发现职业教育学生规模年均增长率低于GDP年均增长率，得出结论为职业教育规模与经济增长“不相适应”。这个结论成立的前提是职业教育规模的年均增长率应该与增长年均增长率相当，但论文对这个前提的合理性缺乏必要的分析和讨论。再比如，《新时代背景下中职导游人才培养对策研究》在“课程设置”方面提出了“鼓励开设专业选修课”“大力更新导游课程内容”“编订导游校本教材”三项对策，但在前面的问卷调查和问题分析，缺乏相关的内容，“调查-问题-对策”之间相互分离，而不是一以贯之。</w:t>
      </w:r>
    </w:p>
    <w:p>
      <w:pPr>
        <w:pStyle w:val="4"/>
        <w:numPr>
          <w:ilvl w:val="0"/>
          <w:numId w:val="3"/>
        </w:numPr>
        <w:spacing w:line="360" w:lineRule="auto"/>
        <w:ind w:left="233" w:leftChars="0" w:right="125" w:firstLine="416" w:firstLineChars="0"/>
        <w:jc w:val="both"/>
        <w:rPr>
          <w:rFonts w:hint="eastAsia" w:ascii="宋体" w:hAnsi="宋体" w:eastAsia="宋体" w:cstheme="minorBidi"/>
          <w:spacing w:val="7"/>
          <w:sz w:val="24"/>
          <w:szCs w:val="24"/>
          <w:lang w:val="en-US" w:eastAsia="zh-CN" w:bidi="ar-SA"/>
        </w:rPr>
      </w:pPr>
      <w:r>
        <w:rPr>
          <w:rFonts w:hint="eastAsia"/>
          <w:spacing w:val="7"/>
          <w:sz w:val="24"/>
          <w:szCs w:val="24"/>
          <w:lang w:val="en-US" w:eastAsia="zh-CN"/>
        </w:rPr>
        <w:t>事实描述零乱。抽检论文中，个案研究、案例分析的论文比例高达40%，专题研究、调研报告中也有相当论论文涉及个案分析，做好个案研究成为做好职教专硕学位论文的关键能力。个案研究或个案分析内在地蕴含着事实描述、理论概括和结论外推三个依次递进价值旨趣。</w:t>
      </w:r>
      <w:r>
        <w:rPr>
          <w:rStyle w:val="9"/>
          <w:rFonts w:hint="eastAsia"/>
          <w:spacing w:val="7"/>
          <w:sz w:val="24"/>
          <w:szCs w:val="24"/>
          <w:lang w:val="en-US" w:eastAsia="zh-CN"/>
        </w:rPr>
        <w:footnoteReference w:id="2"/>
      </w:r>
      <w:r>
        <w:rPr>
          <w:rFonts w:hint="eastAsia"/>
          <w:spacing w:val="7"/>
          <w:sz w:val="24"/>
          <w:szCs w:val="24"/>
          <w:lang w:val="en-US" w:eastAsia="zh-CN"/>
        </w:rPr>
        <w:t>准确、清晰的事实描述是个案研究的基础，也是理论概括和结论外推的前提。但是，很多研究生在个案分析时的事实描述杂乱无章，缺乏理论关照，甚至与研究主题不相关。比如，《</w:t>
      </w:r>
      <w:r>
        <w:rPr>
          <w:rFonts w:hint="eastAsia" w:ascii="宋体" w:hAnsi="宋体" w:eastAsia="宋体" w:cstheme="minorBidi"/>
          <w:spacing w:val="7"/>
          <w:sz w:val="24"/>
          <w:szCs w:val="24"/>
          <w:lang w:val="en-US" w:eastAsia="zh-CN" w:bidi="ar-SA"/>
        </w:rPr>
        <w:t>中职学校课堂教学有效性分析</w:t>
      </w:r>
      <w:r>
        <w:rPr>
          <w:rFonts w:hint="eastAsia" w:cstheme="minorBidi"/>
          <w:spacing w:val="7"/>
          <w:sz w:val="24"/>
          <w:szCs w:val="24"/>
          <w:lang w:val="en-US" w:eastAsia="zh-CN" w:bidi="ar-SA"/>
        </w:rPr>
        <w:t>——</w:t>
      </w:r>
      <w:r>
        <w:rPr>
          <w:rFonts w:hint="eastAsia" w:ascii="宋体" w:hAnsi="宋体" w:eastAsia="宋体" w:cstheme="minorBidi"/>
          <w:spacing w:val="7"/>
          <w:sz w:val="24"/>
          <w:szCs w:val="24"/>
          <w:lang w:val="en-US" w:eastAsia="zh-CN" w:bidi="ar-SA"/>
        </w:rPr>
        <w:t>以Y校会计专业为例</w:t>
      </w:r>
      <w:r>
        <w:rPr>
          <w:rFonts w:hint="eastAsia" w:cstheme="minorBidi"/>
          <w:spacing w:val="7"/>
          <w:sz w:val="24"/>
          <w:szCs w:val="24"/>
          <w:lang w:val="en-US" w:eastAsia="zh-CN" w:bidi="ar-SA"/>
        </w:rPr>
        <w:t>》通过课堂观察的方法对两位教师的教学行为进行描述和分析，对X教师的事实描述采用白描的方式记录学生的状态、教师的教学安排、学生的行为反应，只有500字左右的段落，对Z教师的事实描述虽然作了结构化的设计，也只是按照教学环节分为教师、学生、观察描述三个维度，无法对“效率”“效果”“效用”三个有效性维度提供有价值的事实，分析难以深入。</w:t>
      </w:r>
    </w:p>
    <w:p>
      <w:pPr>
        <w:pStyle w:val="4"/>
        <w:spacing w:line="360" w:lineRule="auto"/>
        <w:ind w:right="125" w:firstLine="416"/>
        <w:jc w:val="both"/>
        <w:rPr>
          <w:sz w:val="24"/>
          <w:szCs w:val="24"/>
        </w:rPr>
      </w:pPr>
      <w:r>
        <w:rPr>
          <w:rFonts w:hint="eastAsia"/>
          <w:spacing w:val="5"/>
          <w:sz w:val="24"/>
          <w:szCs w:val="24"/>
          <w:lang w:eastAsia="zh-CN"/>
        </w:rPr>
        <w:t>（</w:t>
      </w:r>
      <w:r>
        <w:rPr>
          <w:rFonts w:hint="eastAsia"/>
          <w:spacing w:val="5"/>
          <w:sz w:val="24"/>
          <w:szCs w:val="24"/>
          <w:lang w:val="en-US" w:eastAsia="zh-CN"/>
        </w:rPr>
        <w:t>3</w:t>
      </w:r>
      <w:r>
        <w:rPr>
          <w:rFonts w:hint="eastAsia"/>
          <w:spacing w:val="5"/>
          <w:sz w:val="24"/>
          <w:szCs w:val="24"/>
          <w:lang w:eastAsia="zh-CN"/>
        </w:rPr>
        <w:t>）</w:t>
      </w:r>
      <w:r>
        <w:rPr>
          <w:rFonts w:hint="eastAsia"/>
          <w:spacing w:val="5"/>
          <w:sz w:val="24"/>
          <w:szCs w:val="24"/>
          <w:lang w:val="en-US" w:eastAsia="zh-CN"/>
        </w:rPr>
        <w:t>实证研究不实。实证研究信奉事物之间存在客观的规律和因果关系，这种规律和因果关系是可以事实或数据来证实。因此，实证研究有相对固定的结构形式，一般由问题与假设、方法与过程、结果与讨论等要素构成。实证研究的关键是做实，主要体现在方法、过程和结果上。方法要科学、过程要规范、结果要客观，否则容易陷入伪实证的误区。比如，《K-means算法在选课系统中的应用研究》研究的核心是将K-means算法应用到选课系统，通过分析学生历史学习成绩，帮助学生个性化选择选修课程，使得选择的课程更适合学生的实际学习状况。实证研究主体内容应该是K-means算法的处理流程、算法分析和数据分析，但实际上论文把选课系统的功能和系统设计变成主要内容。K-means算法应用中存在的问题及其解决方案，这一本应通过实证研究回答的问题，反而没有研究结论。</w:t>
      </w:r>
    </w:p>
    <w:p>
      <w:pPr>
        <w:pStyle w:val="4"/>
        <w:spacing w:before="13" w:line="360" w:lineRule="auto"/>
        <w:ind w:left="650" w:right="0"/>
        <w:jc w:val="left"/>
        <w:rPr>
          <w:b/>
          <w:bCs/>
          <w:sz w:val="24"/>
          <w:szCs w:val="24"/>
        </w:rPr>
      </w:pPr>
      <w:r>
        <w:rPr>
          <w:rFonts w:ascii="Times New Roman" w:hAnsi="Times New Roman" w:eastAsia="Times New Roman" w:cs="Times New Roman"/>
          <w:b/>
          <w:bCs/>
          <w:spacing w:val="5"/>
          <w:sz w:val="24"/>
          <w:szCs w:val="24"/>
        </w:rPr>
        <w:t>5.</w:t>
      </w:r>
      <w:r>
        <w:rPr>
          <w:rFonts w:hint="eastAsia" w:ascii="Times New Roman" w:hAnsi="Times New Roman" w:cs="Times New Roman"/>
          <w:b/>
          <w:bCs/>
          <w:spacing w:val="5"/>
          <w:sz w:val="24"/>
          <w:szCs w:val="24"/>
          <w:lang w:val="en-US" w:eastAsia="zh-CN"/>
        </w:rPr>
        <w:t>格式规范方面</w:t>
      </w:r>
    </w:p>
    <w:p>
      <w:pPr>
        <w:pStyle w:val="4"/>
        <w:spacing w:before="27" w:line="360" w:lineRule="auto"/>
        <w:ind w:right="0" w:firstLine="508" w:firstLineChars="200"/>
        <w:jc w:val="left"/>
        <w:rPr>
          <w:rFonts w:hint="default" w:eastAsia="宋体"/>
          <w:sz w:val="24"/>
          <w:szCs w:val="24"/>
          <w:lang w:val="en-US" w:eastAsia="zh-CN"/>
        </w:rPr>
      </w:pPr>
      <w:r>
        <w:rPr>
          <w:rFonts w:hint="eastAsia"/>
          <w:spacing w:val="7"/>
          <w:sz w:val="24"/>
          <w:szCs w:val="24"/>
          <w:lang w:val="en-US" w:eastAsia="zh-CN"/>
        </w:rPr>
        <w:t>职教专硕学位论文在格式规范方面的问题与教育硕士其他领域类似，在标题、摘要、目录、文献综述、引文使用、文字表达等方面存在不规范情况。有的论文标题研究对象不明确，比如《XX市技师学院中职“双师型”教师专业技能的现状和培训方案的设计》出现“技师学院”“中职”两个不同的概念；有的论文标题研究问题不具体，比如《全日制职业技术教育专业硕士认同感研究》“认同感”概念不清楚，需要进一步限定，另外论文研究内容为“研究生教育”也不符合教育硕士选题的要求。有的论文摘要大段叙述研究背景，罗列章节目录，缺乏对研究问题、研究方法和研究结论的概括</w:t>
      </w:r>
      <w:r>
        <w:rPr>
          <w:spacing w:val="6"/>
          <w:sz w:val="24"/>
          <w:szCs w:val="24"/>
        </w:rPr>
        <w:t>。</w:t>
      </w:r>
      <w:r>
        <w:rPr>
          <w:rFonts w:hint="eastAsia"/>
          <w:spacing w:val="6"/>
          <w:sz w:val="24"/>
          <w:szCs w:val="24"/>
          <w:lang w:val="en-US" w:eastAsia="zh-CN"/>
        </w:rPr>
        <w:t>有的论文目录过于简单，比如，《</w:t>
      </w:r>
      <w:r>
        <w:rPr>
          <w:rFonts w:hint="eastAsia" w:ascii="宋体" w:hAnsi="宋体" w:eastAsia="宋体" w:cstheme="minorBidi"/>
          <w:spacing w:val="7"/>
          <w:sz w:val="24"/>
          <w:szCs w:val="24"/>
          <w:lang w:val="en-US" w:eastAsia="zh-CN" w:bidi="ar-SA"/>
        </w:rPr>
        <w:t>中等职业学校商务英语教师专业发展问题个案研究</w:t>
      </w:r>
      <w:r>
        <w:rPr>
          <w:rFonts w:hint="eastAsia"/>
          <w:spacing w:val="6"/>
          <w:sz w:val="24"/>
          <w:szCs w:val="24"/>
          <w:lang w:val="en-US" w:eastAsia="zh-CN"/>
        </w:rPr>
        <w:t>》的主体部分三章分别是“存在的问题”“影响的原因”“改进对策”，下面各分三节分述一二三点，目录结构看不到研究方法和研究过程，显得很不“专业”。有的论文文献综述过于简单甚至缺失，比如，《台湾职业技术教育调研报告》只有简单一页引言，就直接进入研究主体内容，完全没有文献综述。有的论文引文使用和参考文献格式不规范，还以《台湾职业技术教育调研报告》为例，全文没有脚注或尾注，只有35篇引用文献，格式不规范，也没有进行分类。有的论文语言表达不规范，口语化现象较为普遍。</w:t>
      </w:r>
    </w:p>
    <w:p>
      <w:pPr>
        <w:spacing w:beforeLines="0" w:afterLines="0"/>
        <w:jc w:val="left"/>
        <w:rPr>
          <w:rFonts w:hint="eastAsia" w:ascii="宋体" w:hAnsi="宋体" w:eastAsia="宋体" w:cstheme="minorBidi"/>
          <w:spacing w:val="7"/>
          <w:sz w:val="20"/>
          <w:szCs w:val="20"/>
          <w:lang w:val="en-US" w:eastAsia="zh-CN" w:bidi="ar-SA"/>
        </w:rPr>
      </w:pPr>
    </w:p>
    <w:p>
      <w:pPr>
        <w:pStyle w:val="4"/>
        <w:spacing w:before="0" w:line="240" w:lineRule="auto"/>
        <w:ind w:left="651" w:right="0"/>
        <w:jc w:val="left"/>
        <w:rPr>
          <w:rFonts w:ascii="黑体" w:hAnsi="黑体" w:eastAsia="黑体" w:cs="黑体"/>
          <w:b/>
          <w:bCs/>
          <w:sz w:val="24"/>
          <w:szCs w:val="24"/>
        </w:rPr>
      </w:pPr>
      <w:r>
        <w:rPr>
          <w:rFonts w:ascii="黑体" w:hAnsi="黑体" w:eastAsia="黑体" w:cs="黑体"/>
          <w:b/>
          <w:bCs/>
          <w:spacing w:val="6"/>
          <w:sz w:val="24"/>
          <w:szCs w:val="24"/>
        </w:rPr>
        <w:t>四、改进职教专硕</w:t>
      </w:r>
      <w:r>
        <w:rPr>
          <w:rFonts w:hint="eastAsia" w:ascii="黑体" w:hAnsi="黑体" w:eastAsia="黑体" w:cs="黑体"/>
          <w:b/>
          <w:bCs/>
          <w:spacing w:val="6"/>
          <w:sz w:val="24"/>
          <w:szCs w:val="24"/>
          <w:lang w:val="en-US" w:eastAsia="zh-CN"/>
        </w:rPr>
        <w:t>学位论文</w:t>
      </w:r>
      <w:r>
        <w:rPr>
          <w:rFonts w:ascii="黑体" w:hAnsi="黑体" w:eastAsia="黑体" w:cs="黑体"/>
          <w:b/>
          <w:bCs/>
          <w:spacing w:val="6"/>
          <w:sz w:val="24"/>
          <w:szCs w:val="24"/>
        </w:rPr>
        <w:t>工作的建议</w:t>
      </w:r>
    </w:p>
    <w:p>
      <w:pPr>
        <w:spacing w:before="9" w:line="240" w:lineRule="auto"/>
        <w:rPr>
          <w:rFonts w:ascii="黑体" w:hAnsi="黑体" w:eastAsia="黑体" w:cs="黑体"/>
          <w:sz w:val="16"/>
          <w:szCs w:val="16"/>
        </w:rPr>
      </w:pPr>
    </w:p>
    <w:p>
      <w:pPr>
        <w:pStyle w:val="4"/>
        <w:spacing w:before="0" w:line="360" w:lineRule="auto"/>
        <w:ind w:left="651" w:right="0"/>
        <w:jc w:val="left"/>
        <w:rPr>
          <w:b/>
          <w:bCs/>
          <w:sz w:val="24"/>
          <w:szCs w:val="24"/>
        </w:rPr>
      </w:pPr>
      <w:r>
        <w:rPr>
          <w:rFonts w:ascii="Times New Roman" w:hAnsi="Times New Roman" w:eastAsia="Times New Roman" w:cs="Times New Roman"/>
          <w:b/>
          <w:bCs/>
          <w:spacing w:val="5"/>
          <w:sz w:val="24"/>
          <w:szCs w:val="24"/>
        </w:rPr>
        <w:t>1.</w:t>
      </w:r>
      <w:r>
        <w:rPr>
          <w:rFonts w:hint="eastAsia" w:ascii="Times New Roman" w:hAnsi="Times New Roman" w:cs="Times New Roman"/>
          <w:b/>
          <w:bCs/>
          <w:spacing w:val="5"/>
          <w:sz w:val="24"/>
          <w:szCs w:val="24"/>
          <w:lang w:val="en-US" w:eastAsia="zh-CN"/>
        </w:rPr>
        <w:t>高度重视学位论文工作</w:t>
      </w:r>
    </w:p>
    <w:p>
      <w:pPr>
        <w:pStyle w:val="4"/>
        <w:spacing w:before="49" w:line="360" w:lineRule="auto"/>
        <w:ind w:left="235" w:right="0" w:firstLine="416"/>
        <w:jc w:val="left"/>
        <w:rPr>
          <w:spacing w:val="7"/>
          <w:sz w:val="24"/>
          <w:szCs w:val="24"/>
        </w:rPr>
      </w:pPr>
      <w:r>
        <w:rPr>
          <w:spacing w:val="7"/>
          <w:sz w:val="24"/>
          <w:szCs w:val="24"/>
        </w:rPr>
        <w:t>各培养单位要提高对职教专硕研究生</w:t>
      </w:r>
      <w:r>
        <w:rPr>
          <w:rFonts w:hint="eastAsia"/>
          <w:spacing w:val="7"/>
          <w:sz w:val="24"/>
          <w:szCs w:val="24"/>
          <w:lang w:val="en-US" w:eastAsia="zh-CN"/>
        </w:rPr>
        <w:t>学位论文</w:t>
      </w:r>
      <w:r>
        <w:rPr>
          <w:spacing w:val="7"/>
          <w:sz w:val="24"/>
          <w:szCs w:val="24"/>
        </w:rPr>
        <w:t>工作的认识。校院两级管理部门要加强对</w:t>
      </w:r>
      <w:r>
        <w:rPr>
          <w:rFonts w:hint="eastAsia"/>
          <w:spacing w:val="7"/>
          <w:sz w:val="24"/>
          <w:szCs w:val="24"/>
          <w:lang w:val="en-US" w:eastAsia="zh-CN"/>
        </w:rPr>
        <w:t>学位论文选题、开题、送审、答辩等相关环节的管理，</w:t>
      </w:r>
      <w:r>
        <w:rPr>
          <w:spacing w:val="7"/>
          <w:sz w:val="24"/>
          <w:szCs w:val="24"/>
        </w:rPr>
        <w:t>并通过</w:t>
      </w:r>
      <w:r>
        <w:rPr>
          <w:rFonts w:hint="eastAsia"/>
          <w:spacing w:val="7"/>
          <w:sz w:val="24"/>
          <w:szCs w:val="24"/>
          <w:lang w:val="en-US" w:eastAsia="zh-CN"/>
        </w:rPr>
        <w:t>组织学位论文写作与指导的专题培训，</w:t>
      </w:r>
      <w:r>
        <w:rPr>
          <w:spacing w:val="7"/>
          <w:sz w:val="24"/>
          <w:szCs w:val="24"/>
        </w:rPr>
        <w:t>构建</w:t>
      </w:r>
      <w:r>
        <w:rPr>
          <w:spacing w:val="-56"/>
          <w:sz w:val="24"/>
          <w:szCs w:val="24"/>
        </w:rPr>
        <w:t xml:space="preserve"> </w:t>
      </w:r>
      <w:r>
        <w:rPr>
          <w:spacing w:val="7"/>
          <w:sz w:val="24"/>
          <w:szCs w:val="24"/>
        </w:rPr>
        <w:t>相应的质量标准和评价与监控机制，</w:t>
      </w:r>
      <w:r>
        <w:rPr>
          <w:rFonts w:hint="eastAsia"/>
          <w:spacing w:val="7"/>
          <w:sz w:val="24"/>
          <w:szCs w:val="24"/>
          <w:lang w:val="en-US" w:eastAsia="zh-CN"/>
        </w:rPr>
        <w:t>使</w:t>
      </w:r>
      <w:r>
        <w:rPr>
          <w:spacing w:val="7"/>
          <w:sz w:val="24"/>
          <w:szCs w:val="24"/>
        </w:rPr>
        <w:t>职教专硕研</w:t>
      </w:r>
      <w:r>
        <w:rPr>
          <w:spacing w:val="-65"/>
          <w:sz w:val="24"/>
          <w:szCs w:val="24"/>
        </w:rPr>
        <w:t xml:space="preserve"> </w:t>
      </w:r>
      <w:r>
        <w:rPr>
          <w:spacing w:val="7"/>
          <w:sz w:val="24"/>
          <w:szCs w:val="24"/>
        </w:rPr>
        <w:t>究生</w:t>
      </w:r>
      <w:r>
        <w:rPr>
          <w:rFonts w:hint="eastAsia"/>
          <w:spacing w:val="7"/>
          <w:sz w:val="24"/>
          <w:szCs w:val="24"/>
          <w:lang w:val="en-US" w:eastAsia="zh-CN"/>
        </w:rPr>
        <w:t>学位论文的专业性、实践性和规范性不断提升，质量水平得到不断提高。教指委职教专家组将学位论文作为</w:t>
      </w:r>
      <w:r>
        <w:rPr>
          <w:rFonts w:hint="eastAsia"/>
          <w:spacing w:val="7"/>
          <w:sz w:val="24"/>
          <w:szCs w:val="24"/>
        </w:rPr>
        <w:t>质量监控重点工作之一，把论文抽检工作制度化</w:t>
      </w:r>
      <w:r>
        <w:rPr>
          <w:rFonts w:hint="eastAsia"/>
          <w:spacing w:val="7"/>
          <w:sz w:val="24"/>
          <w:szCs w:val="24"/>
          <w:lang w:eastAsia="zh-CN"/>
        </w:rPr>
        <w:t>。</w:t>
      </w:r>
      <w:r>
        <w:rPr>
          <w:rFonts w:hint="eastAsia"/>
          <w:spacing w:val="7"/>
          <w:sz w:val="24"/>
          <w:szCs w:val="24"/>
        </w:rPr>
        <w:t>要求各</w:t>
      </w:r>
      <w:r>
        <w:rPr>
          <w:rFonts w:hint="eastAsia"/>
          <w:spacing w:val="7"/>
          <w:sz w:val="24"/>
          <w:szCs w:val="24"/>
          <w:lang w:val="en-US" w:eastAsia="zh-CN"/>
        </w:rPr>
        <w:t>培养单位</w:t>
      </w:r>
      <w:r>
        <w:rPr>
          <w:rFonts w:hint="eastAsia"/>
          <w:spacing w:val="7"/>
          <w:sz w:val="24"/>
          <w:szCs w:val="24"/>
        </w:rPr>
        <w:t>每年上报全部毕业生论文题目</w:t>
      </w:r>
      <w:r>
        <w:rPr>
          <w:rFonts w:hint="default"/>
          <w:spacing w:val="7"/>
          <w:sz w:val="24"/>
          <w:szCs w:val="24"/>
        </w:rPr>
        <w:t>和摘要</w:t>
      </w:r>
      <w:bookmarkStart w:id="0" w:name="_GoBack"/>
      <w:bookmarkEnd w:id="0"/>
      <w:r>
        <w:rPr>
          <w:rFonts w:hint="eastAsia"/>
          <w:spacing w:val="7"/>
          <w:sz w:val="24"/>
          <w:szCs w:val="24"/>
        </w:rPr>
        <w:t>，秘书处在全面检查基础上，按一定比例随机抽取部分论文，通过网站组织专家进行审核。</w:t>
      </w:r>
    </w:p>
    <w:p>
      <w:pPr>
        <w:pStyle w:val="4"/>
        <w:spacing w:before="5" w:line="360" w:lineRule="auto"/>
        <w:ind w:left="650" w:right="0"/>
        <w:jc w:val="left"/>
        <w:rPr>
          <w:b/>
          <w:bCs/>
          <w:sz w:val="24"/>
          <w:szCs w:val="24"/>
        </w:rPr>
      </w:pPr>
      <w:r>
        <w:rPr>
          <w:rFonts w:ascii="Times New Roman" w:hAnsi="Times New Roman" w:eastAsia="Times New Roman" w:cs="Times New Roman"/>
          <w:b/>
          <w:bCs/>
          <w:spacing w:val="5"/>
          <w:sz w:val="24"/>
          <w:szCs w:val="24"/>
        </w:rPr>
        <w:t>2.</w:t>
      </w:r>
      <w:r>
        <w:rPr>
          <w:rFonts w:hint="eastAsia" w:ascii="Times New Roman" w:hAnsi="Times New Roman" w:cs="Times New Roman"/>
          <w:b/>
          <w:bCs/>
          <w:spacing w:val="5"/>
          <w:sz w:val="24"/>
          <w:szCs w:val="24"/>
          <w:lang w:val="en-US" w:eastAsia="zh-CN"/>
        </w:rPr>
        <w:t>明确学位论文选题范围</w:t>
      </w:r>
    </w:p>
    <w:p>
      <w:pPr>
        <w:pStyle w:val="4"/>
        <w:spacing w:line="360" w:lineRule="auto"/>
        <w:ind w:right="209" w:firstLine="416"/>
        <w:jc w:val="both"/>
        <w:rPr>
          <w:rFonts w:hint="eastAsia"/>
          <w:spacing w:val="7"/>
          <w:sz w:val="24"/>
          <w:szCs w:val="24"/>
          <w:lang w:val="en-US" w:eastAsia="zh-CN"/>
        </w:rPr>
      </w:pPr>
      <w:r>
        <w:rPr>
          <w:rFonts w:hint="eastAsia"/>
          <w:spacing w:val="7"/>
          <w:sz w:val="24"/>
          <w:szCs w:val="24"/>
          <w:lang w:val="en-US" w:eastAsia="zh-CN"/>
        </w:rPr>
        <w:t>与中职教师培养相关的领域十分宽广，除职业学校的课程与教学外，还涉及职业科学、岗位技能、企业管理、技术应用、职后培训等，且具有交叉性和复合型特点。职教专硕的培养目标是中等职业学校的高素质教师，学位论文不能以高职院校为研究对象。</w:t>
      </w:r>
      <w:r>
        <w:rPr>
          <w:spacing w:val="7"/>
          <w:sz w:val="24"/>
          <w:szCs w:val="24"/>
        </w:rPr>
        <w:t>各培养单位要加强对</w:t>
      </w:r>
      <w:r>
        <w:rPr>
          <w:rFonts w:hint="eastAsia"/>
          <w:spacing w:val="7"/>
          <w:sz w:val="24"/>
          <w:szCs w:val="24"/>
          <w:lang w:val="en-US" w:eastAsia="zh-CN"/>
        </w:rPr>
        <w:t>学位论文选题范围的研究和</w:t>
      </w:r>
      <w:r>
        <w:rPr>
          <w:spacing w:val="7"/>
          <w:sz w:val="24"/>
          <w:szCs w:val="24"/>
        </w:rPr>
        <w:t>论证，</w:t>
      </w:r>
      <w:r>
        <w:rPr>
          <w:rFonts w:hint="eastAsia"/>
          <w:spacing w:val="7"/>
          <w:sz w:val="24"/>
          <w:szCs w:val="24"/>
          <w:lang w:val="en-US" w:eastAsia="zh-CN"/>
        </w:rPr>
        <w:t>正确处理专业性、实践性和学术性的关系，控制专业建设、职业教育体系、职业教育与区域经济产业关系、职业教育政策等中观、宏观层次的理论和政策研究的论文规模，原则上比例不超过10%。</w:t>
      </w:r>
    </w:p>
    <w:p>
      <w:pPr>
        <w:pStyle w:val="4"/>
        <w:spacing w:line="360" w:lineRule="auto"/>
        <w:ind w:right="209" w:firstLine="416"/>
        <w:jc w:val="both"/>
        <w:rPr>
          <w:rFonts w:hint="default"/>
          <w:b/>
          <w:bCs/>
          <w:sz w:val="24"/>
          <w:szCs w:val="24"/>
          <w:lang w:val="en-US"/>
        </w:rPr>
      </w:pPr>
      <w:r>
        <w:rPr>
          <w:rFonts w:ascii="Times New Roman" w:hAnsi="Times New Roman" w:eastAsia="Times New Roman" w:cs="Times New Roman"/>
          <w:b/>
          <w:bCs/>
          <w:spacing w:val="4"/>
          <w:sz w:val="24"/>
          <w:szCs w:val="24"/>
        </w:rPr>
        <w:t>3.</w:t>
      </w:r>
      <w:r>
        <w:rPr>
          <w:rFonts w:hint="eastAsia" w:ascii="Times New Roman" w:hAnsi="Times New Roman" w:cs="Times New Roman"/>
          <w:b/>
          <w:bCs/>
          <w:spacing w:val="4"/>
          <w:sz w:val="24"/>
          <w:szCs w:val="24"/>
          <w:lang w:val="en-US" w:eastAsia="zh-CN"/>
        </w:rPr>
        <w:t>探索学位论文形式规范</w:t>
      </w:r>
    </w:p>
    <w:p>
      <w:pPr>
        <w:pStyle w:val="4"/>
        <w:spacing w:before="49" w:line="360" w:lineRule="auto"/>
        <w:ind w:right="209" w:firstLine="416"/>
        <w:jc w:val="both"/>
        <w:rPr>
          <w:sz w:val="24"/>
          <w:szCs w:val="24"/>
        </w:rPr>
      </w:pPr>
      <w:r>
        <w:rPr>
          <w:spacing w:val="7"/>
          <w:sz w:val="24"/>
          <w:szCs w:val="24"/>
        </w:rPr>
        <w:t>各培养单位要</w:t>
      </w:r>
      <w:r>
        <w:rPr>
          <w:rFonts w:hint="eastAsia"/>
          <w:spacing w:val="7"/>
          <w:sz w:val="24"/>
          <w:szCs w:val="24"/>
          <w:lang w:val="en-US" w:eastAsia="zh-CN"/>
        </w:rPr>
        <w:t>正确对待学位论文格式规范性与论文形式多样性的关系。在要做好标题、目录、摘要、绪论、文献综述、参考文献等学位论文共有结构要素的格式规范化的同时，要分析不同论文形式的结构特性，逐步形成不同论文形式的写作规范。主体内容部分，专题研究论文要清晰地体现“问题表述-事实呈现-事理分析-观点论证”的论证逻辑；调查研究论文要符合实证研究的基本规范，“问题与假设-方法与过程-结果与讨论”等结构要素完整清晰；案例研究论文要围绕典型案例展开研究，做到案例事实描述清晰、理论概括正确、结论应用推广效果明显；技术或课程开发论文要围绕技术或课程开发的流程展开</w:t>
      </w:r>
      <w:r>
        <w:rPr>
          <w:spacing w:val="7"/>
          <w:sz w:val="24"/>
          <w:szCs w:val="24"/>
        </w:rPr>
        <w:t>，</w:t>
      </w:r>
      <w:r>
        <w:rPr>
          <w:rFonts w:hint="eastAsia"/>
          <w:spacing w:val="7"/>
          <w:sz w:val="24"/>
          <w:szCs w:val="24"/>
          <w:lang w:eastAsia="zh-CN"/>
        </w:rPr>
        <w:t>“</w:t>
      </w:r>
      <w:r>
        <w:rPr>
          <w:rFonts w:hint="eastAsia"/>
          <w:spacing w:val="7"/>
          <w:sz w:val="24"/>
          <w:szCs w:val="24"/>
          <w:lang w:val="en-US" w:eastAsia="zh-CN"/>
        </w:rPr>
        <w:t>需求分析-设计方案-开发成果-效果评估”等阶段的过程性材料丰富完整。</w:t>
      </w:r>
    </w:p>
    <w:p>
      <w:pPr>
        <w:pStyle w:val="4"/>
        <w:spacing w:before="27" w:line="240" w:lineRule="auto"/>
        <w:ind w:left="650" w:right="0"/>
        <w:jc w:val="left"/>
        <w:rPr>
          <w:b/>
          <w:bCs/>
          <w:sz w:val="21"/>
          <w:szCs w:val="21"/>
        </w:rPr>
      </w:pPr>
      <w:r>
        <w:rPr>
          <w:rFonts w:ascii="Times New Roman" w:hAnsi="Times New Roman" w:eastAsia="Times New Roman" w:cs="Times New Roman"/>
          <w:b/>
          <w:bCs/>
          <w:spacing w:val="5"/>
          <w:sz w:val="24"/>
          <w:szCs w:val="24"/>
        </w:rPr>
        <w:t>4.</w:t>
      </w:r>
      <w:r>
        <w:rPr>
          <w:rFonts w:hint="eastAsia" w:ascii="Times New Roman" w:hAnsi="Times New Roman" w:cs="Times New Roman"/>
          <w:b/>
          <w:bCs/>
          <w:spacing w:val="5"/>
          <w:sz w:val="24"/>
          <w:szCs w:val="24"/>
          <w:lang w:val="en-US" w:eastAsia="zh-CN"/>
        </w:rPr>
        <w:t>加强</w:t>
      </w:r>
      <w:r>
        <w:rPr>
          <w:rFonts w:hint="default" w:ascii="Times New Roman" w:hAnsi="Times New Roman" w:cs="Times New Roman"/>
          <w:b/>
          <w:bCs/>
          <w:spacing w:val="5"/>
          <w:sz w:val="24"/>
          <w:szCs w:val="24"/>
          <w:lang w:eastAsia="zh-CN"/>
        </w:rPr>
        <w:t>“两支队伍”建设</w:t>
      </w:r>
    </w:p>
    <w:p>
      <w:pPr>
        <w:pStyle w:val="4"/>
        <w:spacing w:before="49" w:line="360" w:lineRule="auto"/>
        <w:ind w:right="209" w:firstLine="416"/>
        <w:jc w:val="both"/>
        <w:rPr>
          <w:rFonts w:hint="eastAsia"/>
          <w:spacing w:val="7"/>
          <w:sz w:val="24"/>
          <w:szCs w:val="24"/>
          <w:lang w:val="en-US" w:eastAsia="zh-CN"/>
        </w:rPr>
      </w:pPr>
      <w:r>
        <w:rPr>
          <w:rFonts w:hint="default"/>
          <w:spacing w:val="7"/>
          <w:sz w:val="24"/>
          <w:szCs w:val="24"/>
          <w:lang w:val="en-US" w:eastAsia="zh-CN"/>
        </w:rPr>
        <w:t>学位论文选题“偏宏观”和“偏离中职学校实际”是本次学位论文抽检发现的两个主要问题，问题的根源在于导师队伍建设和学位论文工作管理上，因此，我们建议加强导师队伍和专业学位委员会建设，简称“两支队伍”建设。一是加强导师队伍建设。各培养单位要优化校内导师的选拔工作，进一步明确导师的资格要求和工作任务，选拔熟悉中职学校课程与教学改革，能深入一线，能准确把握职教专硕培养目标的教师担任指导教师，杜绝“书斋式”“纯理论”无法下沉到中职学校一线的教师担任导师；强化“双导师”或“三导师”制度建设，聘请中职学校优秀、骨干专业教师担任兼职导师，确保兼职导师在学位论文选题、开题、写作、答辩过程中发挥专业性的指导作用。二是加强专业学位委员会建设。各培养单位要成立由熟悉并准确把握专业学位培养目标和学位论文要求的教师组成的学位委员会，制定职教专硕学位论文工作的规范性管理文件，对选题、开题、送审、答辩、学位授予的全过程进行质量审核；加强答辩过程和学位授予的管理，答辩委员会成员必须包含来自中职学校的专业教师，答辩过程中答辩委员会要严把质量关，偏离培养目标的学位论文不能通过答辩，专业学位委员会要对通过答辩的学位论文进行审核，确保授予学位的论文符合职教专硕的培养目标和论文要求。</w:t>
      </w:r>
    </w:p>
    <w:p>
      <w:pPr>
        <w:pStyle w:val="4"/>
        <w:spacing w:line="360" w:lineRule="auto"/>
        <w:ind w:right="92" w:firstLine="416"/>
        <w:jc w:val="both"/>
        <w:rPr>
          <w:rFonts w:hint="eastAsia"/>
          <w:spacing w:val="7"/>
          <w:sz w:val="24"/>
          <w:szCs w:val="24"/>
          <w:lang w:val="en-US" w:eastAsia="zh-CN"/>
        </w:rPr>
      </w:pPr>
    </w:p>
    <w:p>
      <w:pPr>
        <w:pStyle w:val="4"/>
        <w:spacing w:line="360" w:lineRule="auto"/>
        <w:ind w:right="92" w:firstLine="416"/>
        <w:jc w:val="both"/>
        <w:rPr>
          <w:rFonts w:hint="eastAsia"/>
          <w:spacing w:val="7"/>
          <w:sz w:val="24"/>
          <w:szCs w:val="24"/>
          <w:lang w:val="en-US" w:eastAsia="zh-CN"/>
        </w:rPr>
      </w:pPr>
    </w:p>
    <w:p>
      <w:pPr>
        <w:pStyle w:val="4"/>
        <w:spacing w:line="360" w:lineRule="auto"/>
        <w:ind w:right="92" w:firstLine="416"/>
        <w:jc w:val="both"/>
        <w:rPr>
          <w:rFonts w:hint="eastAsia"/>
          <w:spacing w:val="7"/>
          <w:sz w:val="24"/>
          <w:szCs w:val="24"/>
          <w:lang w:val="en-US" w:eastAsia="zh-CN"/>
        </w:rPr>
      </w:pPr>
    </w:p>
    <w:p>
      <w:pPr>
        <w:pStyle w:val="4"/>
        <w:spacing w:line="360" w:lineRule="auto"/>
        <w:ind w:right="92" w:firstLine="416"/>
        <w:jc w:val="both"/>
        <w:rPr>
          <w:b w:val="0"/>
          <w:bCs w:val="0"/>
          <w:sz w:val="24"/>
          <w:szCs w:val="24"/>
        </w:rPr>
      </w:pPr>
      <w:r>
        <w:rPr>
          <w:rFonts w:hint="default"/>
          <w:b w:val="0"/>
          <w:bCs w:val="0"/>
          <w:spacing w:val="7"/>
          <w:sz w:val="24"/>
          <w:szCs w:val="24"/>
          <w:lang w:eastAsia="zh-CN"/>
        </w:rPr>
        <w:t>附件一：</w:t>
      </w:r>
      <w:r>
        <w:rPr>
          <w:b w:val="0"/>
          <w:bCs w:val="0"/>
          <w:sz w:val="24"/>
          <w:szCs w:val="24"/>
        </w:rPr>
        <w:t>教育硕士（职教领域）学位论文抽查结果汇总表</w:t>
      </w:r>
    </w:p>
    <w:p>
      <w:pPr>
        <w:pStyle w:val="4"/>
        <w:spacing w:line="360" w:lineRule="auto"/>
        <w:ind w:right="92" w:firstLine="416"/>
        <w:jc w:val="both"/>
        <w:rPr>
          <w:b w:val="0"/>
          <w:bCs w:val="0"/>
          <w:sz w:val="24"/>
          <w:szCs w:val="24"/>
        </w:rPr>
      </w:pPr>
      <w:r>
        <w:rPr>
          <w:b w:val="0"/>
          <w:bCs w:val="0"/>
          <w:sz w:val="24"/>
          <w:szCs w:val="24"/>
        </w:rPr>
        <w:t>附件二：教育硕士（职教领域）学位论文推荐论文目录</w:t>
      </w:r>
    </w:p>
    <w:sectPr>
      <w:footnotePr>
        <w:numFmt w:val="decimalEnclosedCircleChinese"/>
        <w:numRestart w:val="eachPage"/>
      </w:footnote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方正兰亭超细黑简体">
    <w:altName w:val="冬青黑体简体中文"/>
    <w:panose1 w:val="02000000000000000000"/>
    <w:charset w:val="86"/>
    <w:family w:val="auto"/>
    <w:pitch w:val="default"/>
    <w:sig w:usb0="00000000" w:usb1="0000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Cambria Math">
    <w:altName w:val="苹方-简"/>
    <w:panose1 w:val="02040503050406030204"/>
    <w:charset w:val="00"/>
    <w:family w:val="roman"/>
    <w:pitch w:val="default"/>
    <w:sig w:usb0="00000000" w:usb1="00000000" w:usb2="00000000" w:usb3="00000000" w:csb0="2000019F" w:csb1="00000000"/>
  </w:font>
  <w:font w:name="华文楷体">
    <w:panose1 w:val="02010600040101010101"/>
    <w:charset w:val="86"/>
    <w:family w:val="auto"/>
    <w:pitch w:val="default"/>
    <w:sig w:usb0="80000287" w:usb1="280F3C52" w:usb2="00000016" w:usb3="00000000" w:csb0="0004001F"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7"/>
        <w:snapToGrid w:val="0"/>
        <w:rPr>
          <w:rFonts w:hint="default" w:eastAsia="宋体"/>
          <w:lang w:val="en-US" w:eastAsia="zh-CN"/>
        </w:rPr>
      </w:pPr>
      <w:r>
        <w:rPr>
          <w:rStyle w:val="9"/>
        </w:rPr>
        <w:footnoteRef/>
      </w:r>
      <w:r>
        <w:t xml:space="preserve"> </w:t>
      </w:r>
      <w:r>
        <w:rPr>
          <w:rFonts w:hint="eastAsia" w:eastAsia="宋体"/>
          <w:lang w:val="en-US" w:eastAsia="zh-CN"/>
        </w:rPr>
        <w:t>杨启亮.偏失与合适：教育硕士专业学位的论文选题.学位与研究生教育.2005(8).</w:t>
      </w:r>
    </w:p>
  </w:footnote>
  <w:footnote w:id="1">
    <w:p>
      <w:pPr>
        <w:pStyle w:val="7"/>
        <w:snapToGrid w:val="0"/>
        <w:rPr>
          <w:rFonts w:hint="eastAsia"/>
        </w:rPr>
      </w:pPr>
      <w:r>
        <w:rPr>
          <w:rStyle w:val="9"/>
        </w:rPr>
        <w:footnoteRef/>
      </w:r>
      <w:r>
        <w:t xml:space="preserve"> </w:t>
      </w:r>
      <w:r>
        <w:rPr>
          <w:rFonts w:hint="eastAsia"/>
        </w:rPr>
        <w:t xml:space="preserve">马来平.人文社科研究生学位论文中的逻辑问题——以科技哲学专业为例[J].学位与研究生教育，2013(10)：30-35. </w:t>
      </w:r>
    </w:p>
    <w:p>
      <w:pPr>
        <w:pStyle w:val="7"/>
        <w:snapToGrid w:val="0"/>
      </w:pPr>
    </w:p>
  </w:footnote>
  <w:footnote w:id="2">
    <w:p>
      <w:pPr>
        <w:pStyle w:val="7"/>
        <w:snapToGrid w:val="0"/>
        <w:rPr>
          <w:rFonts w:hint="default" w:eastAsia="宋体"/>
          <w:lang w:val="en-US" w:eastAsia="zh-CN"/>
        </w:rPr>
      </w:pPr>
      <w:r>
        <w:rPr>
          <w:rStyle w:val="9"/>
        </w:rPr>
        <w:footnoteRef/>
      </w:r>
      <w:r>
        <w:t xml:space="preserve"> </w:t>
      </w:r>
      <w:r>
        <w:rPr>
          <w:rFonts w:hint="eastAsia" w:eastAsia="宋体"/>
          <w:lang w:val="en-US" w:eastAsia="zh-CN"/>
        </w:rPr>
        <w:t>李润洲.研究生个案写作的方法论反思——一种教育学的视角[J].学位与研究生教育,2019(5).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EE85CB"/>
    <w:multiLevelType w:val="singleLevel"/>
    <w:tmpl w:val="AAEE85CB"/>
    <w:lvl w:ilvl="0" w:tentative="0">
      <w:start w:val="1"/>
      <w:numFmt w:val="decimal"/>
      <w:suff w:val="nothing"/>
      <w:lvlText w:val="（%1）"/>
      <w:lvlJc w:val="left"/>
    </w:lvl>
  </w:abstractNum>
  <w:abstractNum w:abstractNumId="1">
    <w:nsid w:val="089DD46C"/>
    <w:multiLevelType w:val="singleLevel"/>
    <w:tmpl w:val="089DD46C"/>
    <w:lvl w:ilvl="0" w:tentative="0">
      <w:start w:val="1"/>
      <w:numFmt w:val="decimal"/>
      <w:suff w:val="nothing"/>
      <w:lvlText w:val="（%1）"/>
      <w:lvlJc w:val="left"/>
    </w:lvl>
  </w:abstractNum>
  <w:abstractNum w:abstractNumId="2">
    <w:nsid w:val="6D8EE2BD"/>
    <w:multiLevelType w:val="singleLevel"/>
    <w:tmpl w:val="6D8EE2BD"/>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9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57C89"/>
    <w:rsid w:val="131C0F0A"/>
    <w:rsid w:val="170C5A4A"/>
    <w:rsid w:val="1A2428BF"/>
    <w:rsid w:val="1E4D3809"/>
    <w:rsid w:val="1EBB5A1B"/>
    <w:rsid w:val="22EB5F84"/>
    <w:rsid w:val="2573417E"/>
    <w:rsid w:val="280004AA"/>
    <w:rsid w:val="291C6843"/>
    <w:rsid w:val="2E6917B0"/>
    <w:rsid w:val="37CB100A"/>
    <w:rsid w:val="3F56165D"/>
    <w:rsid w:val="4C8D11AD"/>
    <w:rsid w:val="4EF21FA7"/>
    <w:rsid w:val="4FD321D6"/>
    <w:rsid w:val="54E57E62"/>
    <w:rsid w:val="57632130"/>
    <w:rsid w:val="5A784FD4"/>
    <w:rsid w:val="5D6F661A"/>
    <w:rsid w:val="663D83AD"/>
    <w:rsid w:val="667FC4B4"/>
    <w:rsid w:val="68B33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20"/>
      <w:outlineLvl w:val="1"/>
    </w:pPr>
    <w:rPr>
      <w:rFonts w:ascii="方正兰亭超细黑简体" w:hAnsi="方正兰亭超细黑简体" w:eastAsia="方正兰亭超细黑简体"/>
      <w:sz w:val="28"/>
      <w:szCs w:val="28"/>
    </w:rPr>
  </w:style>
  <w:style w:type="paragraph" w:styleId="3">
    <w:name w:val="heading 2"/>
    <w:basedOn w:val="1"/>
    <w:next w:val="1"/>
    <w:qFormat/>
    <w:uiPriority w:val="1"/>
    <w:pPr>
      <w:outlineLvl w:val="2"/>
    </w:pPr>
    <w:rPr>
      <w:rFonts w:ascii="Times New Roman" w:hAnsi="Times New Roman" w:eastAsia="Times New Roman"/>
      <w:sz w:val="21"/>
      <w:szCs w:val="21"/>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1"/>
    <w:pPr>
      <w:spacing w:before="48"/>
      <w:ind w:left="233"/>
    </w:pPr>
    <w:rPr>
      <w:rFonts w:ascii="宋体" w:hAnsi="宋体" w:eastAsia="宋体"/>
      <w:sz w:val="2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qFormat/>
    <w:uiPriority w:val="0"/>
    <w:pPr>
      <w:snapToGrid w:val="0"/>
      <w:jc w:val="left"/>
    </w:pPr>
    <w:rPr>
      <w:sz w:val="18"/>
    </w:rPr>
  </w:style>
  <w:style w:type="character" w:styleId="9">
    <w:name w:val="footnote reference"/>
    <w:basedOn w:val="8"/>
    <w:qFormat/>
    <w:uiPriority w:val="0"/>
    <w:rPr>
      <w:vertAlign w:val="superscript"/>
    </w:rPr>
  </w:style>
  <w:style w:type="paragraph" w:customStyle="1" w:styleId="11">
    <w:name w:val="Table Paragraph"/>
    <w:basedOn w:val="1"/>
    <w:qFormat/>
    <w:uiPriority w:val="1"/>
  </w:style>
  <w:style w:type="paragraph" w:customStyle="1" w:styleId="12">
    <w:name w:val="Default"/>
    <w:unhideWhenUsed/>
    <w:qFormat/>
    <w:uiPriority w:val="99"/>
    <w:pPr>
      <w:widowControl w:val="0"/>
      <w:autoSpaceDE w:val="0"/>
      <w:autoSpaceDN w:val="0"/>
      <w:adjustRightInd w:val="0"/>
      <w:spacing w:beforeLines="0" w:afterLines="0"/>
    </w:pPr>
    <w:rPr>
      <w:rFonts w:hint="default" w:ascii="宋体" w:hAnsi="宋体" w:eastAsia="宋体" w:cstheme="minorBidi"/>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Office_1.5.3.2393_F1E327BC-269C-435d-A152-05C5408002CA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2019-10-13T07:12:00Z</dcterms:created>
  <dc:creator>Administrator</dc:creator>
  <cp:lastModifiedBy>david</cp:lastModifiedBy>
  <dcterms:modified xsi:type="dcterms:W3CDTF">2020-02-20T17:58:50Z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2052-1.5.3.2393</vt:lpwstr>
  </property>
</Properties>
</file>